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ACD3" w14:textId="77777777" w:rsidR="00985194" w:rsidRDefault="00985194" w:rsidP="007F621D">
      <w:pPr>
        <w:spacing w:after="0" w:line="240" w:lineRule="auto"/>
        <w:ind w:right="4"/>
        <w:rPr>
          <w:rFonts w:ascii="Cambria" w:hAnsi="Cambria"/>
          <w:b/>
          <w:color w:val="000000" w:themeColor="text1"/>
          <w:lang w:val="es-US"/>
        </w:rPr>
      </w:pPr>
    </w:p>
    <w:p w14:paraId="51B19E2F" w14:textId="5088F09E" w:rsidR="003B3362" w:rsidRPr="005E7D95" w:rsidRDefault="003B3362" w:rsidP="00B8465F">
      <w:pPr>
        <w:spacing w:after="0" w:line="240" w:lineRule="auto"/>
        <w:ind w:right="4"/>
        <w:jc w:val="center"/>
        <w:rPr>
          <w:rFonts w:ascii="Cambria" w:hAnsi="Cambria"/>
          <w:color w:val="000000" w:themeColor="text1"/>
          <w:lang w:val="es-US"/>
        </w:rPr>
      </w:pPr>
      <w:r w:rsidRPr="005E7D95">
        <w:rPr>
          <w:rFonts w:ascii="Cambria" w:hAnsi="Cambria"/>
          <w:b/>
          <w:color w:val="000000" w:themeColor="text1"/>
          <w:lang w:val="es-US"/>
        </w:rPr>
        <w:t>FICHA TÉCNICA INFORMATIVA</w:t>
      </w:r>
    </w:p>
    <w:p w14:paraId="6E79DBFE" w14:textId="77777777" w:rsidR="00B8465F" w:rsidRPr="00493861" w:rsidRDefault="00B8465F" w:rsidP="00B8465F">
      <w:pPr>
        <w:spacing w:after="0" w:line="240" w:lineRule="auto"/>
        <w:ind w:right="-270"/>
        <w:jc w:val="center"/>
        <w:rPr>
          <w:rFonts w:ascii="Cambria" w:eastAsia="Batang" w:hAnsi="Cambria"/>
          <w:b/>
          <w:color w:val="000000"/>
          <w:lang w:val="es-CO"/>
        </w:rPr>
      </w:pPr>
      <w:r w:rsidRPr="00493861">
        <w:rPr>
          <w:rFonts w:ascii="Cambria" w:eastAsia="Batang" w:hAnsi="Cambria"/>
          <w:b/>
          <w:color w:val="000000"/>
          <w:lang w:val="es-CO"/>
        </w:rPr>
        <w:t>PETICIÓN 1287-19 ROBERTO MOLINA BARRETO, ZURY MAYTE RÍOS SOSA Y MWR</w:t>
      </w:r>
    </w:p>
    <w:p w14:paraId="101D0500" w14:textId="50EF0E9A" w:rsidR="003B3362" w:rsidRPr="00643183" w:rsidRDefault="003B3362" w:rsidP="00B8465F">
      <w:pPr>
        <w:spacing w:after="0" w:line="240" w:lineRule="auto"/>
        <w:ind w:right="-270"/>
        <w:jc w:val="center"/>
        <w:rPr>
          <w:rFonts w:ascii="Cambria" w:eastAsia="Batang" w:hAnsi="Cambria"/>
          <w:b/>
          <w:lang w:val="es-AR" w:eastAsia="es-ES_tradnl"/>
        </w:rPr>
      </w:pPr>
      <w:r w:rsidRPr="00493861">
        <w:rPr>
          <w:rFonts w:ascii="Cambria" w:eastAsia="Batang" w:hAnsi="Cambria"/>
          <w:b/>
          <w:color w:val="000000" w:themeColor="text1"/>
          <w:lang w:val="es-CO"/>
        </w:rPr>
        <w:t>INFORME DE SOLUCIÓN AMISTOSA No</w:t>
      </w:r>
      <w:r w:rsidRPr="00493861">
        <w:rPr>
          <w:rFonts w:ascii="Cambria" w:eastAsia="Batang" w:hAnsi="Cambria"/>
          <w:b/>
          <w:lang w:val="es-CO"/>
        </w:rPr>
        <w:t>.</w:t>
      </w:r>
      <w:r w:rsidR="00A56234" w:rsidRPr="00493861">
        <w:rPr>
          <w:rFonts w:ascii="Cambria" w:eastAsia="Batang" w:hAnsi="Cambria"/>
          <w:b/>
          <w:lang w:val="es-CO"/>
        </w:rPr>
        <w:t xml:space="preserve"> </w:t>
      </w:r>
      <w:hyperlink r:id="rId12" w:history="1">
        <w:r w:rsidR="00B8465F" w:rsidRPr="00493861">
          <w:rPr>
            <w:rStyle w:val="Hyperlink"/>
            <w:rFonts w:ascii="Cambria" w:eastAsia="Batang" w:hAnsi="Cambria"/>
            <w:b/>
          </w:rPr>
          <w:t>61/22</w:t>
        </w:r>
      </w:hyperlink>
    </w:p>
    <w:p w14:paraId="445577D0" w14:textId="77777777" w:rsidR="003B3362" w:rsidRPr="00643183" w:rsidRDefault="003B3362" w:rsidP="00B8465F">
      <w:pPr>
        <w:spacing w:after="0" w:line="240" w:lineRule="auto"/>
        <w:ind w:right="4"/>
        <w:jc w:val="center"/>
        <w:rPr>
          <w:rFonts w:ascii="Cambria" w:eastAsia="Batang" w:hAnsi="Cambria"/>
          <w:b/>
          <w:lang w:val="es-CO"/>
        </w:rPr>
      </w:pPr>
      <w:r w:rsidRPr="00643183">
        <w:rPr>
          <w:rFonts w:ascii="Cambria" w:eastAsia="Batang" w:hAnsi="Cambria"/>
          <w:b/>
          <w:lang w:val="es-CO"/>
        </w:rPr>
        <w:t>CUMPLIMIENTO TOTAL</w:t>
      </w:r>
    </w:p>
    <w:p w14:paraId="1DE243DA" w14:textId="6F53E938" w:rsidR="003B3362" w:rsidRPr="0009182C" w:rsidRDefault="003B3362" w:rsidP="00B8465F">
      <w:pPr>
        <w:spacing w:after="0" w:line="240" w:lineRule="auto"/>
        <w:ind w:right="4"/>
        <w:jc w:val="center"/>
        <w:rPr>
          <w:rFonts w:ascii="Cambria" w:eastAsia="Batang" w:hAnsi="Cambria"/>
          <w:b/>
          <w:color w:val="000000" w:themeColor="text1"/>
          <w:lang w:val="es-CO"/>
        </w:rPr>
      </w:pPr>
      <w:r w:rsidRPr="00493861">
        <w:rPr>
          <w:rFonts w:ascii="Cambria" w:eastAsia="Batang" w:hAnsi="Cambria"/>
          <w:b/>
          <w:color w:val="000000" w:themeColor="text1"/>
          <w:lang w:val="es-CO"/>
        </w:rPr>
        <w:t>(</w:t>
      </w:r>
      <w:r w:rsidR="00B8465F" w:rsidRPr="00493861">
        <w:rPr>
          <w:rFonts w:ascii="Cambria" w:eastAsia="Batang" w:hAnsi="Cambria"/>
          <w:b/>
          <w:color w:val="000000" w:themeColor="text1"/>
          <w:lang w:val="es-CO"/>
        </w:rPr>
        <w:t>GUATEMALA)</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493861" w14:paraId="78B6CDC5" w14:textId="77777777" w:rsidTr="00D22B01">
        <w:trPr>
          <w:trHeight w:val="2033"/>
        </w:trPr>
        <w:tc>
          <w:tcPr>
            <w:tcW w:w="9377" w:type="dxa"/>
            <w:shd w:val="clear" w:color="auto" w:fill="F2F2F2"/>
          </w:tcPr>
          <w:p w14:paraId="21A24A79" w14:textId="77777777" w:rsidR="00D22B01" w:rsidRPr="00493861" w:rsidRDefault="00D22B01" w:rsidP="00D22B01">
            <w:pPr>
              <w:tabs>
                <w:tab w:val="left" w:pos="9270"/>
              </w:tabs>
              <w:spacing w:after="0" w:line="240" w:lineRule="auto"/>
              <w:jc w:val="both"/>
              <w:rPr>
                <w:rFonts w:ascii="Cambria" w:eastAsia="Batang" w:hAnsi="Cambria"/>
                <w:color w:val="000000"/>
                <w:sz w:val="20"/>
                <w:szCs w:val="20"/>
                <w:lang w:val="es-CO"/>
              </w:rPr>
            </w:pPr>
            <w:bookmarkStart w:id="0" w:name="_Hlk84881808"/>
            <w:r w:rsidRPr="00493861">
              <w:rPr>
                <w:rFonts w:ascii="Cambria" w:eastAsia="Batang" w:hAnsi="Cambria"/>
                <w:b/>
                <w:color w:val="000000"/>
                <w:sz w:val="20"/>
                <w:szCs w:val="20"/>
                <w:lang w:val="es-CO"/>
              </w:rPr>
              <w:t>Víctima (s):</w:t>
            </w:r>
            <w:r w:rsidRPr="00493861">
              <w:rPr>
                <w:rFonts w:ascii="Cambria" w:eastAsia="Batang" w:hAnsi="Cambria"/>
                <w:color w:val="000000"/>
                <w:sz w:val="20"/>
                <w:szCs w:val="20"/>
                <w:lang w:val="es-CO"/>
              </w:rPr>
              <w:t xml:space="preserve"> Roberto Molina Barreto, Zury Mayte Ríos Sosa y MWR</w:t>
            </w:r>
          </w:p>
          <w:p w14:paraId="6A0FD5B4" w14:textId="77777777" w:rsidR="00D22B01" w:rsidRPr="00493861" w:rsidRDefault="00D22B01" w:rsidP="00D22B01">
            <w:pPr>
              <w:tabs>
                <w:tab w:val="left" w:pos="9270"/>
              </w:tabs>
              <w:spacing w:after="0" w:line="240" w:lineRule="auto"/>
              <w:jc w:val="both"/>
              <w:rPr>
                <w:rFonts w:ascii="Cambria" w:eastAsia="Batang" w:hAnsi="Cambria"/>
                <w:bCs/>
                <w:color w:val="000000"/>
                <w:sz w:val="20"/>
                <w:szCs w:val="20"/>
                <w:lang w:val="es-CO"/>
              </w:rPr>
            </w:pPr>
            <w:r w:rsidRPr="00493861">
              <w:rPr>
                <w:rFonts w:ascii="Cambria" w:eastAsia="Batang" w:hAnsi="Cambria"/>
                <w:b/>
                <w:color w:val="000000"/>
                <w:sz w:val="20"/>
                <w:szCs w:val="20"/>
                <w:lang w:val="es-CO"/>
              </w:rPr>
              <w:t xml:space="preserve">Peticionario (s): </w:t>
            </w:r>
            <w:r w:rsidRPr="00493861">
              <w:rPr>
                <w:rFonts w:ascii="Cambria" w:eastAsia="Batang" w:hAnsi="Cambria"/>
                <w:bCs/>
                <w:color w:val="000000"/>
                <w:sz w:val="20"/>
                <w:szCs w:val="20"/>
                <w:lang w:val="es-CO"/>
              </w:rPr>
              <w:t>Angela Margarita Rey Anaya y Jose Estuardo Cordova Guirola</w:t>
            </w:r>
          </w:p>
          <w:p w14:paraId="7C863ABF" w14:textId="77777777" w:rsidR="00D22B01" w:rsidRPr="00493861" w:rsidRDefault="00D22B01" w:rsidP="00D22B01">
            <w:pPr>
              <w:tabs>
                <w:tab w:val="left" w:pos="9270"/>
              </w:tabs>
              <w:spacing w:after="0" w:line="240" w:lineRule="auto"/>
              <w:jc w:val="both"/>
              <w:rPr>
                <w:rFonts w:ascii="Cambria" w:eastAsia="Batang" w:hAnsi="Cambria"/>
                <w:color w:val="000000"/>
                <w:sz w:val="20"/>
                <w:szCs w:val="20"/>
                <w:lang w:val="es-CO"/>
              </w:rPr>
            </w:pPr>
            <w:r w:rsidRPr="00493861">
              <w:rPr>
                <w:rFonts w:ascii="Cambria" w:eastAsia="Batang" w:hAnsi="Cambria"/>
                <w:b/>
                <w:color w:val="000000"/>
                <w:sz w:val="20"/>
                <w:szCs w:val="20"/>
                <w:lang w:val="es-CO"/>
              </w:rPr>
              <w:t>Estado:</w:t>
            </w:r>
            <w:r w:rsidRPr="00493861">
              <w:rPr>
                <w:rFonts w:ascii="Cambria" w:eastAsia="Batang" w:hAnsi="Cambria"/>
                <w:color w:val="000000"/>
                <w:sz w:val="20"/>
                <w:szCs w:val="20"/>
                <w:lang w:val="es-CO"/>
              </w:rPr>
              <w:t xml:space="preserve"> Guatemala</w:t>
            </w:r>
          </w:p>
          <w:p w14:paraId="4488A1DB" w14:textId="77777777" w:rsidR="00D22B01" w:rsidRPr="00493861" w:rsidRDefault="00D22B01" w:rsidP="00D22B01">
            <w:pPr>
              <w:tabs>
                <w:tab w:val="left" w:pos="9270"/>
              </w:tabs>
              <w:spacing w:after="0" w:line="240" w:lineRule="auto"/>
              <w:jc w:val="both"/>
              <w:rPr>
                <w:rFonts w:ascii="Cambria" w:eastAsia="Batang" w:hAnsi="Cambria"/>
                <w:color w:val="000000"/>
                <w:sz w:val="20"/>
                <w:szCs w:val="20"/>
                <w:lang w:val="es-CO"/>
              </w:rPr>
            </w:pPr>
            <w:r w:rsidRPr="00493861">
              <w:rPr>
                <w:rFonts w:ascii="Cambria" w:hAnsi="Cambria"/>
                <w:b/>
                <w:bCs/>
                <w:color w:val="000000"/>
                <w:sz w:val="20"/>
                <w:szCs w:val="20"/>
                <w:lang w:val="es-CO"/>
              </w:rPr>
              <w:t>Fecha de inicio de las negociaciones:</w:t>
            </w:r>
            <w:r w:rsidRPr="00493861">
              <w:rPr>
                <w:rFonts w:ascii="Cambria" w:hAnsi="Cambria"/>
                <w:color w:val="000000"/>
                <w:sz w:val="20"/>
                <w:szCs w:val="20"/>
                <w:lang w:val="es-CO"/>
              </w:rPr>
              <w:t xml:space="preserve"> 25 de agosto de 2021</w:t>
            </w:r>
            <w:r w:rsidRPr="00493861">
              <w:rPr>
                <w:rFonts w:ascii="Cambria" w:hAnsi="Cambria"/>
                <w:b/>
                <w:bCs/>
                <w:color w:val="000000"/>
                <w:sz w:val="20"/>
                <w:szCs w:val="20"/>
                <w:lang w:val="es-CO"/>
              </w:rPr>
              <w:t xml:space="preserve"> </w:t>
            </w:r>
          </w:p>
          <w:p w14:paraId="48B61AC3" w14:textId="77777777" w:rsidR="00D22B01" w:rsidRPr="00493861" w:rsidRDefault="00D22B01" w:rsidP="00D22B01">
            <w:pPr>
              <w:tabs>
                <w:tab w:val="left" w:pos="9270"/>
              </w:tabs>
              <w:spacing w:after="0" w:line="240" w:lineRule="auto"/>
              <w:jc w:val="both"/>
              <w:rPr>
                <w:rFonts w:ascii="Cambria" w:hAnsi="Cambria"/>
                <w:color w:val="000000"/>
                <w:sz w:val="20"/>
                <w:szCs w:val="20"/>
                <w:lang w:val="es-CO"/>
              </w:rPr>
            </w:pPr>
            <w:r w:rsidRPr="00493861">
              <w:rPr>
                <w:rFonts w:ascii="Cambria" w:hAnsi="Cambria"/>
                <w:b/>
                <w:bCs/>
                <w:color w:val="000000"/>
                <w:sz w:val="20"/>
                <w:szCs w:val="20"/>
                <w:lang w:val="es-CO"/>
              </w:rPr>
              <w:t xml:space="preserve">Fecha de Firma de ASA: </w:t>
            </w:r>
            <w:r w:rsidRPr="00493861">
              <w:rPr>
                <w:rFonts w:ascii="Cambria" w:hAnsi="Cambria"/>
                <w:color w:val="000000"/>
                <w:sz w:val="20"/>
                <w:szCs w:val="20"/>
                <w:lang w:val="es-CO"/>
              </w:rPr>
              <w:t>28 de diciembre de 2021</w:t>
            </w:r>
          </w:p>
          <w:p w14:paraId="0D2D7A44" w14:textId="77777777" w:rsidR="00D22B01" w:rsidRPr="00493861" w:rsidRDefault="00D22B01" w:rsidP="00D22B01">
            <w:pPr>
              <w:tabs>
                <w:tab w:val="left" w:pos="9270"/>
              </w:tabs>
              <w:spacing w:after="0" w:line="240" w:lineRule="auto"/>
              <w:jc w:val="both"/>
              <w:rPr>
                <w:rFonts w:ascii="Cambria" w:eastAsia="Batang" w:hAnsi="Cambria"/>
                <w:color w:val="000000"/>
                <w:sz w:val="20"/>
                <w:szCs w:val="20"/>
                <w:lang w:val="es-CO"/>
              </w:rPr>
            </w:pPr>
            <w:r w:rsidRPr="00493861">
              <w:rPr>
                <w:rFonts w:ascii="Cambria" w:eastAsia="Batang" w:hAnsi="Cambria"/>
                <w:b/>
                <w:color w:val="000000"/>
                <w:sz w:val="20"/>
                <w:szCs w:val="20"/>
                <w:lang w:val="es-CO"/>
              </w:rPr>
              <w:t xml:space="preserve">Informe de Acuerdo de Solución Amistosa Nº: </w:t>
            </w:r>
            <w:hyperlink r:id="rId13" w:history="1">
              <w:r w:rsidRPr="00493861">
                <w:rPr>
                  <w:rStyle w:val="Hyperlink"/>
                  <w:rFonts w:ascii="Cambria" w:eastAsia="Batang" w:hAnsi="Cambria"/>
                  <w:b/>
                  <w:bCs/>
                  <w:color w:val="auto"/>
                  <w:sz w:val="20"/>
                  <w:szCs w:val="20"/>
                  <w:lang w:val="es-CO"/>
                </w:rPr>
                <w:t>61/22</w:t>
              </w:r>
            </w:hyperlink>
            <w:r w:rsidRPr="00493861">
              <w:rPr>
                <w:rFonts w:ascii="Cambria" w:eastAsia="Batang" w:hAnsi="Cambria"/>
                <w:b/>
                <w:sz w:val="20"/>
                <w:szCs w:val="20"/>
                <w:lang w:val="es-CO"/>
              </w:rPr>
              <w:t xml:space="preserve"> </w:t>
            </w:r>
            <w:r w:rsidRPr="00493861">
              <w:rPr>
                <w:rFonts w:ascii="Cambria" w:eastAsia="Batang" w:hAnsi="Cambria"/>
                <w:color w:val="000000"/>
                <w:sz w:val="20"/>
                <w:szCs w:val="20"/>
                <w:lang w:val="es-CO"/>
              </w:rPr>
              <w:t>publicado el 24 de abril de 2022</w:t>
            </w:r>
          </w:p>
          <w:p w14:paraId="24B84ADC" w14:textId="77777777" w:rsidR="00D22B01" w:rsidRPr="00493861" w:rsidRDefault="00D22B01" w:rsidP="00D22B01">
            <w:pPr>
              <w:tabs>
                <w:tab w:val="left" w:pos="9270"/>
              </w:tabs>
              <w:spacing w:after="0" w:line="240" w:lineRule="auto"/>
              <w:jc w:val="both"/>
              <w:rPr>
                <w:rFonts w:ascii="Cambria" w:hAnsi="Cambria"/>
                <w:color w:val="000000"/>
                <w:sz w:val="20"/>
                <w:szCs w:val="20"/>
                <w:lang w:val="es-CO"/>
              </w:rPr>
            </w:pPr>
            <w:r w:rsidRPr="00493861">
              <w:rPr>
                <w:rFonts w:ascii="Cambria" w:hAnsi="Cambria"/>
                <w:b/>
                <w:bCs/>
                <w:color w:val="000000"/>
                <w:sz w:val="20"/>
                <w:szCs w:val="20"/>
                <w:lang w:val="es-CO"/>
              </w:rPr>
              <w:t xml:space="preserve">Duración estimada de la fase de negociación: </w:t>
            </w:r>
            <w:r w:rsidRPr="00493861">
              <w:rPr>
                <w:rFonts w:ascii="Cambria" w:hAnsi="Cambria"/>
                <w:color w:val="000000"/>
                <w:sz w:val="20"/>
                <w:szCs w:val="20"/>
                <w:lang w:val="es-CO"/>
              </w:rPr>
              <w:t>4 meses</w:t>
            </w:r>
          </w:p>
          <w:p w14:paraId="4D1CB0B0" w14:textId="77777777" w:rsidR="00D22B01" w:rsidRPr="00493861" w:rsidRDefault="00D22B01" w:rsidP="00D22B01">
            <w:pPr>
              <w:tabs>
                <w:tab w:val="left" w:pos="9270"/>
              </w:tabs>
              <w:spacing w:after="0" w:line="240" w:lineRule="auto"/>
              <w:jc w:val="both"/>
              <w:rPr>
                <w:rFonts w:ascii="Cambria" w:eastAsia="Batang" w:hAnsi="Cambria"/>
                <w:color w:val="000000"/>
                <w:sz w:val="20"/>
                <w:szCs w:val="20"/>
                <w:lang w:val="es-CO"/>
              </w:rPr>
            </w:pPr>
            <w:r w:rsidRPr="00493861">
              <w:rPr>
                <w:rFonts w:ascii="Cambria" w:eastAsia="Batang" w:hAnsi="Cambria"/>
                <w:b/>
                <w:color w:val="000000"/>
                <w:sz w:val="20"/>
                <w:szCs w:val="20"/>
                <w:lang w:val="es-CO"/>
              </w:rPr>
              <w:t>Relatoría vinculada:</w:t>
            </w:r>
            <w:r w:rsidRPr="00493861">
              <w:rPr>
                <w:rFonts w:ascii="Cambria" w:eastAsia="Batang" w:hAnsi="Cambria"/>
                <w:color w:val="000000"/>
                <w:sz w:val="20"/>
                <w:szCs w:val="20"/>
                <w:lang w:val="es-CO"/>
              </w:rPr>
              <w:t xml:space="preserve"> N/A</w:t>
            </w:r>
          </w:p>
          <w:p w14:paraId="60B336D0" w14:textId="77777777" w:rsidR="00D22B01" w:rsidRPr="00493861" w:rsidRDefault="00D22B01" w:rsidP="00D22B01">
            <w:pPr>
              <w:spacing w:after="0" w:line="240" w:lineRule="auto"/>
              <w:jc w:val="both"/>
              <w:rPr>
                <w:rFonts w:ascii="Cambria" w:eastAsia="Batang" w:hAnsi="Cambria"/>
                <w:bCs/>
                <w:color w:val="FF0000"/>
                <w:sz w:val="20"/>
                <w:szCs w:val="20"/>
                <w:lang w:val="es-CO"/>
              </w:rPr>
            </w:pPr>
            <w:r w:rsidRPr="00493861">
              <w:rPr>
                <w:rFonts w:ascii="Cambria" w:eastAsia="Batang" w:hAnsi="Cambria"/>
                <w:b/>
                <w:color w:val="000000"/>
                <w:sz w:val="20"/>
                <w:szCs w:val="20"/>
                <w:lang w:val="es-CO"/>
              </w:rPr>
              <w:t>Temas:</w:t>
            </w:r>
            <w:r w:rsidRPr="00493861">
              <w:rPr>
                <w:rFonts w:ascii="Cambria" w:eastAsia="Batang" w:hAnsi="Cambria"/>
                <w:bCs/>
                <w:color w:val="000000"/>
                <w:sz w:val="20"/>
                <w:szCs w:val="20"/>
                <w:lang w:val="es-CO"/>
              </w:rPr>
              <w:t xml:space="preserve"> Principio de legalidad y no retroactividad / Libertad de expresión / Derechos del niño / Derechos políticos / Igualdad ente la ley / </w:t>
            </w:r>
            <w:r w:rsidRPr="00493861">
              <w:rPr>
                <w:rFonts w:ascii="Cambria" w:eastAsia="Batang" w:hAnsi="Cambria"/>
                <w:bCs/>
                <w:color w:val="000000" w:themeColor="text1"/>
                <w:sz w:val="20"/>
                <w:szCs w:val="20"/>
                <w:lang w:val="es-CO"/>
              </w:rPr>
              <w:t>Garantías judiciales / Protección judicial</w:t>
            </w:r>
          </w:p>
          <w:p w14:paraId="564AB276" w14:textId="77777777" w:rsidR="00D22B01" w:rsidRPr="00493861" w:rsidRDefault="00D22B01" w:rsidP="00D22B01">
            <w:pPr>
              <w:tabs>
                <w:tab w:val="left" w:pos="9270"/>
              </w:tabs>
              <w:spacing w:after="0" w:line="240" w:lineRule="auto"/>
              <w:jc w:val="both"/>
              <w:rPr>
                <w:rFonts w:ascii="Cambria" w:eastAsia="Batang" w:hAnsi="Cambria"/>
                <w:color w:val="000000"/>
                <w:sz w:val="20"/>
                <w:szCs w:val="20"/>
                <w:lang w:val="es-CO"/>
              </w:rPr>
            </w:pPr>
          </w:p>
          <w:p w14:paraId="0AAD3E19" w14:textId="77777777" w:rsidR="00D22B01" w:rsidRPr="00493861" w:rsidRDefault="00D22B01" w:rsidP="00D22B01">
            <w:pPr>
              <w:spacing w:after="0" w:line="240" w:lineRule="auto"/>
              <w:jc w:val="both"/>
              <w:rPr>
                <w:rFonts w:ascii="Cambria" w:eastAsia="Batang" w:hAnsi="Cambria"/>
                <w:color w:val="000000"/>
                <w:sz w:val="20"/>
                <w:szCs w:val="20"/>
                <w:lang w:val="es-CO"/>
              </w:rPr>
            </w:pPr>
            <w:r w:rsidRPr="00493861">
              <w:rPr>
                <w:rFonts w:ascii="Cambria" w:eastAsia="Batang" w:hAnsi="Cambria"/>
                <w:b/>
                <w:color w:val="000000"/>
                <w:sz w:val="20"/>
                <w:szCs w:val="20"/>
                <w:lang w:val="es-CO"/>
              </w:rPr>
              <w:t>Hechos:</w:t>
            </w:r>
            <w:r w:rsidRPr="00493861">
              <w:rPr>
                <w:rFonts w:ascii="Cambria" w:eastAsia="Batang" w:hAnsi="Cambria"/>
                <w:color w:val="000000"/>
                <w:sz w:val="20"/>
                <w:szCs w:val="20"/>
                <w:lang w:val="es-CO"/>
              </w:rPr>
              <w:t xml:space="preserve"> Según lo alegado por los peticionarios, el 19 de enero de 2019, se convocaron elecciones generales para los cargos de Presidente y Vicepresidente de la República, entre otros, y el partido político Valor, mediante Asamblea General, habría designado a la señora Zury Mayté Ríos Sosa y al señor Roberto Molina Barreto como sus candidatos a la Presidencia y Vicepresidencia de la República, respectivamente. […]  Según lo indicado por los peticionarios, el 28 de enero de 2019, el despacho de Registro de Ciudadanos del Tribunal Supremo Electoral, habría proferido resolución inadmitiendo la inscripción del señor Roberto Molina Barreto y de la señora Zury Mayté Ríos Sosa, como candidatos para participar en las contiendas electorales a los cargos de Presidencia y Vicepresidencia. Asimismo, los peticionarios señalaron que, el 1 de febrero de 2019, el Tribunal Supremo Electoral denegó el recurso interpuesto en contra de la decisión adoptada el 28 de enero de 2019, confirmando la decisión de rechazar la inscripción de los candidatos postulados. Por otro lado, el 13 de febrero de 2019, la Corte Suprema de Justicia de Guatemala habría emitido su decisión sobre un recurso de nulidad interpuesto, concediendo un amparo provisional y ordenando la inscripción de las candidaturas propuestas. Según lo alegado por los peticionarios, si bien el Tribunal Supremo Electoral adelantó la inscripción de las candidaturas, paralelamente habría presentado un recurso de apelación contra la decisión adoptada por la mencionada corte el 13 de febrero de 2019. [..] Posteriormente, sin que se revocara la inscripción de los candidatos a los cargos de presidencia y vicepresidencia, el 12 de marzo de 2019, el Tribunal Constitucional de Guatemala habría revocado el amparo provisional. Según la parte peticionaria, la decisión adoptada en 2019 por ambos órganos, Tribunal Supremo Electoral y Corte de Constitucionalidad, desconoció no solo la historia constitucional de la mencionada norma, sino también el alcance que le había otorgado el Tribunal Constitucional en 1989, al interpretar que la disposición normativa en mención no puede ser aplicada de manera atemporal, o de lo contrario implicaría sancionar políticamente a una persona por hechos de terceros. […].</w:t>
            </w:r>
          </w:p>
          <w:p w14:paraId="333407C5" w14:textId="77777777" w:rsidR="00D22B01" w:rsidRPr="00493861" w:rsidRDefault="00D22B01" w:rsidP="00D22B01">
            <w:pPr>
              <w:spacing w:after="0" w:line="240" w:lineRule="auto"/>
              <w:jc w:val="both"/>
              <w:rPr>
                <w:rFonts w:ascii="Cambria" w:eastAsia="Batang" w:hAnsi="Cambria"/>
                <w:color w:val="000000"/>
                <w:sz w:val="20"/>
                <w:szCs w:val="20"/>
                <w:lang w:val="es-CO"/>
              </w:rPr>
            </w:pPr>
          </w:p>
          <w:p w14:paraId="039EA89A" w14:textId="6E1ADD5E" w:rsidR="000F6AC8" w:rsidRPr="00493861" w:rsidRDefault="00D22B01" w:rsidP="00D22B01">
            <w:pPr>
              <w:autoSpaceDE w:val="0"/>
              <w:autoSpaceDN w:val="0"/>
              <w:adjustRightInd w:val="0"/>
              <w:spacing w:after="0" w:line="240" w:lineRule="auto"/>
              <w:jc w:val="both"/>
              <w:rPr>
                <w:rFonts w:ascii="Cambria" w:eastAsia="Batang" w:hAnsi="Cambria" w:cs="Cambria"/>
                <w:color w:val="080808"/>
                <w:sz w:val="20"/>
                <w:szCs w:val="20"/>
                <w:lang w:val="es-CO" w:eastAsia="pt-BR"/>
              </w:rPr>
            </w:pPr>
            <w:r w:rsidRPr="00493861">
              <w:rPr>
                <w:rFonts w:ascii="Cambria" w:eastAsia="Batang" w:hAnsi="Cambria"/>
                <w:b/>
                <w:color w:val="000000"/>
                <w:sz w:val="20"/>
                <w:szCs w:val="20"/>
                <w:lang w:val="es-CO"/>
              </w:rPr>
              <w:t xml:space="preserve">Derechos alegados: </w:t>
            </w:r>
            <w:bookmarkEnd w:id="0"/>
            <w:r w:rsidRPr="00493861">
              <w:rPr>
                <w:rFonts w:ascii="Cambria" w:eastAsia="Batang" w:hAnsi="Cambria"/>
                <w:bCs/>
                <w:color w:val="000000"/>
                <w:sz w:val="20"/>
                <w:szCs w:val="20"/>
                <w:lang w:val="es-ES_tradnl"/>
              </w:rPr>
              <w:t>El 24 de mayo de 2019, la CIDH recibió́ una petición presentada por la señora Zury Mayté Ríos Sosa, en la cual se alegaba la responsabilidad internacional de la República de Guatemala por la violación de los derechos humanos contemplados en los artículos 5(integridad personal), 8 (garantías judiciales), 9 (principio de legalidad y no retroactividad), 11 (protección de la honra y la dignidad), 13 (libertad de expresión), 19 (derechos del niño), 23 (derechos políticos), 24 (igualdad ante la ley) y 25 (garantías de protección judicial), en relación con el artículo 1 (obligación de respetar) y 2 (obligación de adoptar disposiciones de derecho interno) de la Convención Americana sobre Derechos Humanos, en su perjuicio, el de su hija y el del señor Roberto Molina Barreto.</w:t>
            </w:r>
          </w:p>
        </w:tc>
      </w:tr>
    </w:tbl>
    <w:p w14:paraId="1800F6C1" w14:textId="77777777" w:rsidR="003B3362" w:rsidRPr="0009182C" w:rsidRDefault="003B3362" w:rsidP="003B3362">
      <w:pPr>
        <w:spacing w:after="0" w:line="240" w:lineRule="auto"/>
        <w:contextualSpacing/>
        <w:jc w:val="both"/>
        <w:rPr>
          <w:rFonts w:ascii="Cambria" w:eastAsia="Batang" w:hAnsi="Cambria" w:cs="Calibri Light"/>
          <w:b/>
          <w:color w:val="080808"/>
          <w:lang w:val="es-CO"/>
        </w:rPr>
      </w:pPr>
    </w:p>
    <w:p w14:paraId="78070B13" w14:textId="77777777" w:rsidR="003B3362"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7944AAE3" w14:textId="77777777" w:rsidR="00784C39" w:rsidRPr="00493861" w:rsidRDefault="00784C39" w:rsidP="00784C39">
      <w:pPr>
        <w:spacing w:after="0" w:line="240" w:lineRule="auto"/>
        <w:contextualSpacing/>
        <w:rPr>
          <w:rFonts w:ascii="Cambria" w:eastAsia="Batang" w:hAnsi="Cambria"/>
          <w:b/>
          <w:color w:val="080808"/>
          <w:sz w:val="20"/>
          <w:szCs w:val="20"/>
          <w:lang w:val="es-CO"/>
        </w:rPr>
      </w:pPr>
    </w:p>
    <w:p w14:paraId="30F145E4" w14:textId="51DA816E" w:rsidR="00784C39" w:rsidRPr="00493861" w:rsidRDefault="00784C39" w:rsidP="00784C39">
      <w:pPr>
        <w:pStyle w:val="ListParagraph"/>
        <w:numPr>
          <w:ilvl w:val="0"/>
          <w:numId w:val="39"/>
        </w:numPr>
        <w:spacing w:after="0"/>
        <w:ind w:hanging="11"/>
        <w:jc w:val="both"/>
        <w:rPr>
          <w:rFonts w:ascii="Cambria" w:eastAsia="Batang" w:hAnsi="Cambria"/>
          <w:bCs/>
          <w:color w:val="080808"/>
          <w:sz w:val="20"/>
          <w:szCs w:val="20"/>
          <w:lang w:val="es-CO"/>
        </w:rPr>
      </w:pPr>
      <w:r w:rsidRPr="00493861">
        <w:rPr>
          <w:rFonts w:ascii="Cambria" w:eastAsia="Batang" w:hAnsi="Cambria"/>
          <w:bCs/>
          <w:color w:val="080808"/>
          <w:sz w:val="20"/>
          <w:szCs w:val="20"/>
          <w:lang w:val="es-CO"/>
        </w:rPr>
        <w:t>El 28 de diciembre de 2021, las partes suscribieron un acuerdo de solución amistosa.</w:t>
      </w:r>
    </w:p>
    <w:p w14:paraId="1308094B" w14:textId="77777777" w:rsidR="00784C39" w:rsidRPr="00493861" w:rsidRDefault="00784C39" w:rsidP="00784C39">
      <w:pPr>
        <w:pStyle w:val="ListParagraph"/>
        <w:spacing w:after="0"/>
        <w:jc w:val="both"/>
        <w:rPr>
          <w:rFonts w:ascii="Cambria" w:eastAsia="Batang" w:hAnsi="Cambria"/>
          <w:bCs/>
          <w:color w:val="080808"/>
          <w:sz w:val="20"/>
          <w:szCs w:val="20"/>
          <w:lang w:val="es-CO"/>
        </w:rPr>
      </w:pPr>
    </w:p>
    <w:p w14:paraId="25A7E3DA" w14:textId="6BA63AAA" w:rsidR="00784C39" w:rsidRPr="00493861" w:rsidRDefault="00784C39" w:rsidP="00CC42BB">
      <w:pPr>
        <w:pStyle w:val="ListParagraph"/>
        <w:numPr>
          <w:ilvl w:val="0"/>
          <w:numId w:val="39"/>
        </w:numPr>
        <w:spacing w:after="0"/>
        <w:ind w:left="0" w:firstLine="709"/>
        <w:jc w:val="both"/>
        <w:rPr>
          <w:rFonts w:ascii="Cambria" w:eastAsia="Batang" w:hAnsi="Cambria"/>
          <w:bCs/>
          <w:color w:val="080808"/>
          <w:sz w:val="20"/>
          <w:szCs w:val="20"/>
          <w:lang w:val="es-CO"/>
        </w:rPr>
      </w:pPr>
      <w:r w:rsidRPr="00493861">
        <w:rPr>
          <w:rFonts w:ascii="Cambria" w:hAnsi="Cambria"/>
          <w:bCs/>
          <w:sz w:val="20"/>
          <w:szCs w:val="20"/>
          <w:lang w:val="es-AR"/>
        </w:rPr>
        <w:t>El 24 de abril de 2022, la Comisión aprobó el acuerdo de solución amistosa, mediante el Informe No. 61/22.</w:t>
      </w:r>
    </w:p>
    <w:p w14:paraId="4140C440" w14:textId="77777777" w:rsidR="003B3362" w:rsidRDefault="003B3362" w:rsidP="003B3362">
      <w:pPr>
        <w:spacing w:after="0" w:line="240" w:lineRule="auto"/>
        <w:jc w:val="both"/>
        <w:rPr>
          <w:rFonts w:ascii="Cambria" w:hAnsi="Cambria"/>
          <w:color w:val="080808"/>
          <w:lang w:val="es-CO"/>
        </w:rPr>
      </w:pPr>
    </w:p>
    <w:p w14:paraId="23D777E9" w14:textId="61BE2233" w:rsidR="00784C39" w:rsidRPr="00784C39" w:rsidRDefault="00784C39" w:rsidP="00784C39">
      <w:pPr>
        <w:pStyle w:val="ListParagraph"/>
        <w:numPr>
          <w:ilvl w:val="0"/>
          <w:numId w:val="37"/>
        </w:numPr>
        <w:spacing w:after="0" w:line="240" w:lineRule="auto"/>
        <w:ind w:left="0" w:firstLine="685"/>
        <w:jc w:val="both"/>
        <w:rPr>
          <w:rFonts w:ascii="Cambria" w:eastAsia="Batang" w:hAnsi="Cambria" w:cs="Calibri Light"/>
          <w:b/>
          <w:color w:val="080808"/>
          <w:lang w:val="es-CO"/>
        </w:rPr>
      </w:pPr>
      <w:r w:rsidRPr="00784C39">
        <w:rPr>
          <w:rFonts w:ascii="Cambria" w:eastAsia="Batang" w:hAnsi="Cambria" w:cs="Calibri Light"/>
          <w:b/>
          <w:color w:val="080808"/>
          <w:lang w:val="es-CO"/>
        </w:rPr>
        <w:t>ANÁLISIS DEL CUMPLIMIENTO DE LAS CLÁUSULAS DEL ACUERDO DE SOLUCIÓN AMISTOSA</w:t>
      </w:r>
    </w:p>
    <w:p w14:paraId="1C1FE051" w14:textId="77777777" w:rsidR="00784C39" w:rsidRPr="0009182C" w:rsidRDefault="00784C39" w:rsidP="00784C39">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784C39" w:rsidRPr="00055DB7" w14:paraId="6997C4AB" w14:textId="77777777" w:rsidTr="000136C1">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DED3F86" w14:textId="77777777" w:rsidR="00784C39" w:rsidRPr="00493861" w:rsidRDefault="00784C39" w:rsidP="000136C1">
            <w:pPr>
              <w:tabs>
                <w:tab w:val="center" w:pos="2049"/>
              </w:tabs>
              <w:spacing w:after="0" w:line="240" w:lineRule="auto"/>
              <w:jc w:val="center"/>
              <w:rPr>
                <w:rFonts w:ascii="Cambria" w:eastAsia="Batang" w:hAnsi="Cambria"/>
                <w:b/>
                <w:color w:val="080808"/>
                <w:sz w:val="20"/>
                <w:szCs w:val="20"/>
                <w:lang w:val="es-CO"/>
              </w:rPr>
            </w:pPr>
            <w:r w:rsidRPr="00493861">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1AA9EB7" w14:textId="77777777" w:rsidR="00784C39" w:rsidRPr="00493861" w:rsidRDefault="00784C39" w:rsidP="000136C1">
            <w:pPr>
              <w:spacing w:after="0" w:line="240" w:lineRule="auto"/>
              <w:jc w:val="center"/>
              <w:rPr>
                <w:rFonts w:ascii="Cambria" w:eastAsia="Batang" w:hAnsi="Cambria"/>
                <w:b/>
                <w:color w:val="080808"/>
                <w:sz w:val="20"/>
                <w:szCs w:val="20"/>
                <w:lang w:val="es-CO"/>
              </w:rPr>
            </w:pPr>
            <w:r w:rsidRPr="00493861">
              <w:rPr>
                <w:rFonts w:ascii="Cambria" w:eastAsia="Batang" w:hAnsi="Cambria"/>
                <w:b/>
                <w:color w:val="080808"/>
                <w:sz w:val="20"/>
                <w:szCs w:val="20"/>
                <w:lang w:val="es-CO"/>
              </w:rPr>
              <w:t>Estado de Cumplimiento</w:t>
            </w:r>
          </w:p>
        </w:tc>
      </w:tr>
      <w:tr w:rsidR="00842D8F" w:rsidRPr="00055DB7" w14:paraId="08FB669D" w14:textId="77777777" w:rsidTr="00FD3C15">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tcPr>
          <w:p w14:paraId="4EF430A7" w14:textId="66F762D5" w:rsidR="00842D8F" w:rsidRPr="00493861" w:rsidRDefault="00842D8F" w:rsidP="00842D8F">
            <w:pPr>
              <w:spacing w:after="0" w:line="240" w:lineRule="auto"/>
              <w:rPr>
                <w:rFonts w:ascii="Cambria" w:eastAsia="Batang" w:hAnsi="Cambria"/>
                <w:b/>
                <w:color w:val="000000"/>
                <w:sz w:val="20"/>
                <w:szCs w:val="20"/>
                <w:lang w:val="es-CO" w:eastAsia="es-ES_tradnl"/>
              </w:rPr>
            </w:pPr>
            <w:r w:rsidRPr="00493861">
              <w:rPr>
                <w:rFonts w:ascii="Cambria" w:eastAsia="Times New Roman" w:hAnsi="Cambria"/>
                <w:b/>
                <w:bCs/>
                <w:sz w:val="20"/>
                <w:szCs w:val="20"/>
                <w:lang w:val="es-ES_tradnl"/>
              </w:rPr>
              <w:t>4. MEDIDAS DE REPARACIÓN INTEGRAL ACORDADAS</w:t>
            </w:r>
          </w:p>
        </w:tc>
      </w:tr>
      <w:tr w:rsidR="0012699F" w:rsidRPr="00055DB7" w14:paraId="743B7B3F" w14:textId="77777777" w:rsidTr="002142A7">
        <w:trPr>
          <w:trHeight w:val="269"/>
          <w:jc w:val="center"/>
        </w:trPr>
        <w:tc>
          <w:tcPr>
            <w:tcW w:w="7632" w:type="dxa"/>
            <w:tcBorders>
              <w:top w:val="single" w:sz="4" w:space="0" w:color="auto"/>
              <w:left w:val="single" w:sz="4" w:space="0" w:color="auto"/>
              <w:bottom w:val="single" w:sz="4" w:space="0" w:color="auto"/>
              <w:right w:val="single" w:sz="4" w:space="0" w:color="auto"/>
            </w:tcBorders>
          </w:tcPr>
          <w:p w14:paraId="7E60CD6D" w14:textId="3F7618E6" w:rsidR="0012699F" w:rsidRPr="00493861" w:rsidRDefault="0012699F" w:rsidP="0012699F">
            <w:pPr>
              <w:spacing w:after="0" w:line="240" w:lineRule="auto"/>
              <w:jc w:val="both"/>
              <w:rPr>
                <w:rFonts w:ascii="Cambria" w:eastAsia="Times New Roman" w:hAnsi="Cambria"/>
                <w:color w:val="080808"/>
                <w:sz w:val="20"/>
                <w:szCs w:val="20"/>
                <w:lang w:val="es-CO"/>
              </w:rPr>
            </w:pPr>
            <w:r w:rsidRPr="00493861">
              <w:rPr>
                <w:rFonts w:ascii="Cambria" w:eastAsia="Times New Roman" w:hAnsi="Cambria"/>
                <w:b/>
                <w:bCs/>
                <w:sz w:val="20"/>
                <w:szCs w:val="20"/>
                <w:lang w:val="es-ES_tradnl"/>
              </w:rPr>
              <w:t xml:space="preserve">4.1. RECONOCIMIENTO INTERNACIONAL </w:t>
            </w:r>
            <w:r w:rsidRPr="00493861">
              <w:rPr>
                <w:rFonts w:ascii="Cambria" w:eastAsia="Times New Roman" w:hAnsi="Cambria"/>
                <w:sz w:val="20"/>
                <w:szCs w:val="20"/>
                <w:lang w:val="es-ES_tradnl"/>
              </w:rPr>
              <w:t>4.1.1. El Estado de Guatemala, a través de su representante el Procurador General de la Nación, Jorge Luis Donado Vivar, reconoce la importancia de llegar a un acuerdo de solución amistosa en el presente asunto, fundado en el respeto de los derechos humanos establecidos en la Convención Americana sobre Derechos Humanos y el Pacto Internacional de Derechos Civiles y Políticos. 4.1.2. En este sentido, el Estado de Guatemala reconoce el derecho humano de participación política de las solicitantes, mismo que se encuentra regulado y protegido por la Constitución Política de la República de Guatemala, Convención Americana sobre los Derechos Humanos y el Pacto Internacional de Derechos Civiles y Políticos, por ende el ejercicio de dicho derecho universal no puede limitarse o restringirse por ningún motivo, partiendo de la igualdad de derechos que le asiste a los hombres y mujeres para participar en (sic) involucrarse en la vida política de la Nación, siempre y cuando se cumplan los requisitos habilitantes que deberán ser calificados por las entidades correspondientes, previo a participar a un cargo de elección popular.</w:t>
            </w:r>
          </w:p>
        </w:tc>
        <w:tc>
          <w:tcPr>
            <w:tcW w:w="1701" w:type="dxa"/>
            <w:tcBorders>
              <w:top w:val="single" w:sz="4" w:space="0" w:color="auto"/>
              <w:left w:val="single" w:sz="4" w:space="0" w:color="auto"/>
              <w:bottom w:val="single" w:sz="4" w:space="0" w:color="auto"/>
              <w:right w:val="single" w:sz="4" w:space="0" w:color="auto"/>
            </w:tcBorders>
            <w:vAlign w:val="center"/>
          </w:tcPr>
          <w:p w14:paraId="62B5D1B8" w14:textId="6A0BA3BB" w:rsidR="0012699F" w:rsidRPr="00493861" w:rsidRDefault="00842D8F" w:rsidP="0012699F">
            <w:pPr>
              <w:spacing w:after="0" w:line="240" w:lineRule="auto"/>
              <w:jc w:val="center"/>
              <w:rPr>
                <w:rFonts w:ascii="Cambria" w:eastAsia="Batang" w:hAnsi="Cambria"/>
                <w:b/>
                <w:color w:val="080808"/>
                <w:sz w:val="20"/>
                <w:szCs w:val="20"/>
                <w:lang w:val="es-CO"/>
              </w:rPr>
            </w:pPr>
            <w:r w:rsidRPr="00493861">
              <w:rPr>
                <w:rFonts w:ascii="Cambria" w:eastAsia="Batang" w:hAnsi="Cambria"/>
                <w:b/>
                <w:color w:val="000000"/>
                <w:sz w:val="20"/>
                <w:szCs w:val="20"/>
                <w:lang w:val="es-CO" w:eastAsia="es-ES_tradnl"/>
              </w:rPr>
              <w:t>Cláusula Declarativa</w:t>
            </w:r>
          </w:p>
        </w:tc>
      </w:tr>
      <w:tr w:rsidR="00842D8F" w:rsidRPr="00055DB7" w14:paraId="4B225D35" w14:textId="77777777" w:rsidTr="00842D8F">
        <w:trPr>
          <w:trHeight w:val="261"/>
          <w:jc w:val="center"/>
        </w:trPr>
        <w:tc>
          <w:tcPr>
            <w:tcW w:w="9333" w:type="dxa"/>
            <w:gridSpan w:val="2"/>
            <w:tcBorders>
              <w:top w:val="single" w:sz="4" w:space="0" w:color="auto"/>
              <w:left w:val="single" w:sz="4" w:space="0" w:color="auto"/>
              <w:bottom w:val="single" w:sz="4" w:space="0" w:color="auto"/>
              <w:right w:val="single" w:sz="4" w:space="0" w:color="auto"/>
            </w:tcBorders>
          </w:tcPr>
          <w:p w14:paraId="6640484B" w14:textId="54BB2F17" w:rsidR="00842D8F" w:rsidRPr="00493861" w:rsidRDefault="00842D8F" w:rsidP="00842D8F">
            <w:pPr>
              <w:spacing w:after="0" w:line="240" w:lineRule="auto"/>
              <w:rPr>
                <w:rFonts w:ascii="Cambria" w:eastAsia="Batang" w:hAnsi="Cambria"/>
                <w:b/>
                <w:bCs/>
                <w:color w:val="000000"/>
                <w:sz w:val="20"/>
                <w:szCs w:val="20"/>
                <w:lang w:val="es-CO" w:eastAsia="es-ES_tradnl"/>
              </w:rPr>
            </w:pPr>
            <w:r w:rsidRPr="00493861">
              <w:rPr>
                <w:rFonts w:ascii="Cambria" w:hAnsi="Cambria"/>
                <w:b/>
                <w:bCs/>
                <w:sz w:val="20"/>
                <w:szCs w:val="20"/>
                <w:lang w:val="es-ES_tradnl"/>
              </w:rPr>
              <w:t>4.2. MEDIDA DE NO REPETICIÓN</w:t>
            </w:r>
          </w:p>
        </w:tc>
      </w:tr>
      <w:tr w:rsidR="0012699F" w:rsidRPr="00055DB7" w14:paraId="5E35CE99" w14:textId="77777777" w:rsidTr="000136C1">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28F4264F" w14:textId="4796C015" w:rsidR="0012699F" w:rsidRPr="00493861" w:rsidRDefault="00842D8F" w:rsidP="0012699F">
            <w:pPr>
              <w:spacing w:after="0" w:line="240" w:lineRule="auto"/>
              <w:jc w:val="both"/>
              <w:rPr>
                <w:rFonts w:ascii="Cambria" w:hAnsi="Cambria"/>
                <w:color w:val="080808"/>
                <w:sz w:val="20"/>
                <w:szCs w:val="20"/>
                <w:lang w:val="es-CO"/>
              </w:rPr>
            </w:pPr>
            <w:r w:rsidRPr="00493861">
              <w:rPr>
                <w:rFonts w:ascii="Cambria" w:hAnsi="Cambria"/>
                <w:sz w:val="20"/>
                <w:szCs w:val="20"/>
                <w:lang w:val="es-ES_tradnl"/>
              </w:rPr>
              <w:t>4.2.1. El Estado de Guatemala se compromete a realizar 02 campañas de sensibilización a través de la Comisión Presidencial por la Paz y los Derechos Humanos, a efecto de promover la igualdad en la participación política de las mujeres en la vida política del Estado de Guatemala; siendo este caso y otros casos que se han conocido bajo el control de convencionalidad objeto de estudio.</w:t>
            </w:r>
          </w:p>
        </w:tc>
        <w:tc>
          <w:tcPr>
            <w:tcW w:w="1701" w:type="dxa"/>
            <w:tcBorders>
              <w:top w:val="single" w:sz="4" w:space="0" w:color="auto"/>
              <w:left w:val="single" w:sz="4" w:space="0" w:color="auto"/>
              <w:bottom w:val="single" w:sz="4" w:space="0" w:color="auto"/>
              <w:right w:val="single" w:sz="4" w:space="0" w:color="auto"/>
            </w:tcBorders>
            <w:vAlign w:val="center"/>
          </w:tcPr>
          <w:p w14:paraId="396E7972" w14:textId="3CFEAAB8" w:rsidR="0012699F" w:rsidRPr="00493861" w:rsidRDefault="00842D8F" w:rsidP="0012699F">
            <w:pPr>
              <w:spacing w:after="0" w:line="240" w:lineRule="auto"/>
              <w:jc w:val="center"/>
              <w:rPr>
                <w:rFonts w:ascii="Cambria" w:eastAsia="Batang" w:hAnsi="Cambria"/>
                <w:b/>
                <w:color w:val="080808"/>
                <w:sz w:val="20"/>
                <w:szCs w:val="20"/>
                <w:lang w:val="es-CO"/>
              </w:rPr>
            </w:pPr>
            <w:r w:rsidRPr="00493861">
              <w:rPr>
                <w:rFonts w:ascii="Cambria" w:eastAsia="Batang" w:hAnsi="Cambria"/>
                <w:b/>
                <w:bCs/>
                <w:color w:val="000000"/>
                <w:sz w:val="20"/>
                <w:szCs w:val="20"/>
                <w:lang w:val="es-CO" w:eastAsia="es-ES_tradnl"/>
              </w:rPr>
              <w:t>Total</w:t>
            </w:r>
            <w:r w:rsidR="00C33DC3" w:rsidRPr="00493861">
              <w:rPr>
                <w:rStyle w:val="FootnoteReference"/>
                <w:rFonts w:ascii="Cambria" w:eastAsia="Batang" w:hAnsi="Cambria"/>
                <w:b/>
                <w:color w:val="080808"/>
                <w:sz w:val="20"/>
                <w:szCs w:val="20"/>
                <w:lang w:val="es-CO"/>
              </w:rPr>
              <w:footnoteReference w:id="1"/>
            </w:r>
          </w:p>
        </w:tc>
      </w:tr>
      <w:tr w:rsidR="0012699F" w:rsidRPr="00055DB7" w14:paraId="3BF9EE45" w14:textId="77777777" w:rsidTr="000136C1">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5143A8A9" w14:textId="5139F131" w:rsidR="0012699F" w:rsidRPr="00493861" w:rsidRDefault="00842D8F" w:rsidP="0012699F">
            <w:pPr>
              <w:spacing w:after="0" w:line="240" w:lineRule="auto"/>
              <w:jc w:val="both"/>
              <w:rPr>
                <w:rFonts w:ascii="Cambria" w:hAnsi="Cambria"/>
                <w:color w:val="080808"/>
                <w:sz w:val="20"/>
                <w:szCs w:val="20"/>
                <w:lang w:val="es-CO"/>
              </w:rPr>
            </w:pPr>
            <w:r w:rsidRPr="00493861">
              <w:rPr>
                <w:rFonts w:ascii="Cambria" w:hAnsi="Cambria"/>
                <w:sz w:val="20"/>
                <w:szCs w:val="20"/>
                <w:lang w:val="es-ES_tradnl"/>
              </w:rPr>
              <w:t>4.2.2. El Estado de Guatemala a través de la Comisión Presidencial por la Paz y los Derechos Humanos, promoverá 02 foros con las distintitas instituciones educativas privadas y públicas a efecto de fomentar la igualdad en la participación política de las mujeres en la vida política del Estado de Guatemala; en los cuales de igual manera se analizarán y estudiarán estos casos.</w:t>
            </w:r>
          </w:p>
        </w:tc>
        <w:tc>
          <w:tcPr>
            <w:tcW w:w="1701" w:type="dxa"/>
            <w:tcBorders>
              <w:top w:val="single" w:sz="4" w:space="0" w:color="auto"/>
              <w:left w:val="single" w:sz="4" w:space="0" w:color="auto"/>
              <w:bottom w:val="single" w:sz="4" w:space="0" w:color="auto"/>
              <w:right w:val="single" w:sz="4" w:space="0" w:color="auto"/>
            </w:tcBorders>
            <w:vAlign w:val="center"/>
          </w:tcPr>
          <w:p w14:paraId="2BAA3682" w14:textId="77777777" w:rsidR="0012699F" w:rsidRPr="00493861" w:rsidRDefault="0012699F" w:rsidP="0012699F">
            <w:pPr>
              <w:spacing w:after="0" w:line="240" w:lineRule="auto"/>
              <w:jc w:val="center"/>
              <w:rPr>
                <w:rFonts w:ascii="Cambria" w:eastAsia="Batang" w:hAnsi="Cambria"/>
                <w:b/>
                <w:color w:val="080808"/>
                <w:sz w:val="20"/>
                <w:szCs w:val="20"/>
                <w:lang w:val="es-CO"/>
              </w:rPr>
            </w:pPr>
            <w:r w:rsidRPr="00493861">
              <w:rPr>
                <w:rFonts w:ascii="Cambria" w:eastAsia="Batang" w:hAnsi="Cambria"/>
                <w:b/>
                <w:color w:val="080808"/>
                <w:sz w:val="20"/>
                <w:szCs w:val="20"/>
                <w:lang w:val="es-CO"/>
              </w:rPr>
              <w:t>Total</w:t>
            </w:r>
            <w:r w:rsidRPr="00493861">
              <w:rPr>
                <w:rFonts w:ascii="Cambria" w:eastAsia="Batang" w:hAnsi="Cambria"/>
                <w:b/>
                <w:color w:val="080808"/>
                <w:sz w:val="20"/>
                <w:szCs w:val="20"/>
                <w:vertAlign w:val="superscript"/>
                <w:lang w:val="es-CO"/>
              </w:rPr>
              <w:footnoteReference w:id="2"/>
            </w:r>
          </w:p>
        </w:tc>
      </w:tr>
      <w:tr w:rsidR="0012699F" w:rsidRPr="00055DB7" w14:paraId="17E33608" w14:textId="77777777" w:rsidTr="00C33DC3">
        <w:trPr>
          <w:trHeight w:val="733"/>
          <w:jc w:val="center"/>
        </w:trPr>
        <w:tc>
          <w:tcPr>
            <w:tcW w:w="7632" w:type="dxa"/>
            <w:tcBorders>
              <w:top w:val="single" w:sz="4" w:space="0" w:color="auto"/>
              <w:left w:val="single" w:sz="4" w:space="0" w:color="auto"/>
              <w:bottom w:val="single" w:sz="4" w:space="0" w:color="auto"/>
              <w:right w:val="single" w:sz="4" w:space="0" w:color="auto"/>
            </w:tcBorders>
          </w:tcPr>
          <w:p w14:paraId="7E36AD1F" w14:textId="1562C8CB" w:rsidR="0012699F" w:rsidRPr="00493861" w:rsidRDefault="00842D8F" w:rsidP="0012699F">
            <w:pPr>
              <w:spacing w:after="0" w:line="240" w:lineRule="auto"/>
              <w:jc w:val="both"/>
              <w:rPr>
                <w:rFonts w:ascii="Cambria" w:hAnsi="Cambria"/>
                <w:color w:val="080808"/>
                <w:sz w:val="20"/>
                <w:szCs w:val="20"/>
                <w:lang w:val="es-CO"/>
              </w:rPr>
            </w:pPr>
            <w:r w:rsidRPr="00493861">
              <w:rPr>
                <w:rFonts w:ascii="Cambria" w:hAnsi="Cambria"/>
                <w:b/>
                <w:bCs/>
                <w:sz w:val="20"/>
                <w:szCs w:val="20"/>
                <w:lang w:val="es-ES_tradnl"/>
              </w:rPr>
              <w:t>5. MEDIDA DE REPARACIÓN ECONÓMICA</w:t>
            </w:r>
            <w:r w:rsidRPr="00493861">
              <w:rPr>
                <w:rFonts w:ascii="Cambria" w:hAnsi="Cambria"/>
                <w:sz w:val="20"/>
                <w:szCs w:val="20"/>
                <w:lang w:val="es-ES_tradnl"/>
              </w:rPr>
              <w:t xml:space="preserve"> 5.1. Las víctimas del presente caso renuncian a la indemnización económica generada por la afectación a sus derechos convencionales.</w:t>
            </w:r>
          </w:p>
        </w:tc>
        <w:tc>
          <w:tcPr>
            <w:tcW w:w="1701" w:type="dxa"/>
            <w:tcBorders>
              <w:top w:val="single" w:sz="4" w:space="0" w:color="auto"/>
              <w:left w:val="single" w:sz="4" w:space="0" w:color="auto"/>
              <w:bottom w:val="single" w:sz="4" w:space="0" w:color="auto"/>
              <w:right w:val="single" w:sz="4" w:space="0" w:color="auto"/>
            </w:tcBorders>
            <w:vAlign w:val="center"/>
          </w:tcPr>
          <w:p w14:paraId="129C7939" w14:textId="50B9514B" w:rsidR="0012699F" w:rsidRPr="00493861" w:rsidRDefault="00842D8F" w:rsidP="0012699F">
            <w:pPr>
              <w:spacing w:after="0" w:line="240" w:lineRule="auto"/>
              <w:jc w:val="center"/>
              <w:rPr>
                <w:rFonts w:ascii="Cambria" w:eastAsia="Batang" w:hAnsi="Cambria"/>
                <w:b/>
                <w:color w:val="080808"/>
                <w:sz w:val="20"/>
                <w:szCs w:val="20"/>
                <w:lang w:val="es-CO"/>
              </w:rPr>
            </w:pPr>
            <w:r w:rsidRPr="00493861">
              <w:rPr>
                <w:rFonts w:ascii="Cambria" w:eastAsia="Batang" w:hAnsi="Cambria"/>
                <w:b/>
                <w:color w:val="000000"/>
                <w:sz w:val="20"/>
                <w:szCs w:val="20"/>
                <w:lang w:val="es-CO" w:eastAsia="es-ES_tradnl"/>
              </w:rPr>
              <w:t>Cláusula Declarativa</w:t>
            </w:r>
          </w:p>
        </w:tc>
      </w:tr>
    </w:tbl>
    <w:p w14:paraId="18E9B3E7" w14:textId="77777777" w:rsidR="00842D8F" w:rsidRDefault="00842D8F" w:rsidP="00D22B01">
      <w:pPr>
        <w:rPr>
          <w:lang w:val="es-CO"/>
        </w:rPr>
      </w:pPr>
    </w:p>
    <w:p w14:paraId="3075B839" w14:textId="77777777" w:rsidR="00493861" w:rsidRDefault="00493861" w:rsidP="00D22B01">
      <w:pPr>
        <w:rPr>
          <w:lang w:val="es-CO"/>
        </w:rPr>
      </w:pPr>
    </w:p>
    <w:p w14:paraId="133CCAE9" w14:textId="77777777" w:rsidR="008E1EB3" w:rsidRDefault="008E1EB3" w:rsidP="00D22B01">
      <w:pPr>
        <w:rPr>
          <w:lang w:val="es-CO"/>
        </w:rPr>
      </w:pPr>
    </w:p>
    <w:p w14:paraId="42AD76C9" w14:textId="46EB1230" w:rsidR="00842D8F" w:rsidRPr="00842D8F" w:rsidRDefault="00842D8F" w:rsidP="00842D8F">
      <w:pPr>
        <w:pStyle w:val="ListParagraph"/>
        <w:numPr>
          <w:ilvl w:val="0"/>
          <w:numId w:val="37"/>
        </w:numPr>
        <w:autoSpaceDE w:val="0"/>
        <w:autoSpaceDN w:val="0"/>
        <w:adjustRightInd w:val="0"/>
        <w:spacing w:after="0" w:line="240" w:lineRule="auto"/>
        <w:ind w:firstLine="259"/>
        <w:jc w:val="both"/>
        <w:rPr>
          <w:rFonts w:ascii="Cambria" w:eastAsia="Batang" w:hAnsi="Cambria" w:cs="Calibri Light"/>
          <w:b/>
          <w:color w:val="080808"/>
          <w:lang w:val="es-CO"/>
        </w:rPr>
      </w:pPr>
      <w:r w:rsidRPr="00842D8F">
        <w:rPr>
          <w:rFonts w:ascii="Cambria" w:eastAsia="Batang" w:hAnsi="Cambria" w:cs="Calibri Light"/>
          <w:b/>
          <w:color w:val="080808"/>
          <w:lang w:val="es-CO"/>
        </w:rPr>
        <w:t>NIVEL DE CUMPLIMIENTO DEL CASO</w:t>
      </w:r>
    </w:p>
    <w:p w14:paraId="13B2C52E" w14:textId="77777777" w:rsidR="00842D8F" w:rsidRPr="00493861" w:rsidRDefault="00842D8F" w:rsidP="00842D8F">
      <w:pPr>
        <w:spacing w:after="0" w:line="240" w:lineRule="auto"/>
        <w:ind w:firstLine="720"/>
        <w:jc w:val="both"/>
        <w:rPr>
          <w:rFonts w:ascii="Cambria" w:eastAsia="Batang" w:hAnsi="Cambria" w:cs="Calibri Light"/>
          <w:color w:val="080808"/>
          <w:sz w:val="20"/>
          <w:szCs w:val="20"/>
          <w:lang w:val="es-CO"/>
        </w:rPr>
      </w:pPr>
    </w:p>
    <w:p w14:paraId="5E419B66" w14:textId="77777777" w:rsidR="00842D8F" w:rsidRPr="00493861" w:rsidRDefault="00842D8F" w:rsidP="00BE0EFF">
      <w:pPr>
        <w:pStyle w:val="ListParagraph"/>
        <w:numPr>
          <w:ilvl w:val="0"/>
          <w:numId w:val="39"/>
        </w:numPr>
        <w:spacing w:after="0" w:line="240" w:lineRule="auto"/>
        <w:ind w:left="0" w:firstLine="709"/>
        <w:jc w:val="both"/>
        <w:rPr>
          <w:rFonts w:ascii="Cambria" w:hAnsi="Cambria"/>
          <w:color w:val="080808"/>
          <w:sz w:val="20"/>
          <w:szCs w:val="20"/>
          <w:lang w:val="es-CO"/>
        </w:rPr>
      </w:pPr>
      <w:r w:rsidRPr="00493861">
        <w:rPr>
          <w:rFonts w:ascii="Cambria" w:hAnsi="Cambria"/>
          <w:color w:val="080808"/>
          <w:sz w:val="20"/>
          <w:szCs w:val="20"/>
          <w:lang w:val="es-CO"/>
        </w:rPr>
        <w:t>La Comisión declaró el cumplimiento total del asunto y el cese del seguimiento del acuerdo de solución amistosa en el Informe Anual de 2023.</w:t>
      </w:r>
    </w:p>
    <w:p w14:paraId="5DCA8D76" w14:textId="77777777" w:rsidR="00BE0EFF" w:rsidRPr="00493861" w:rsidRDefault="00BE0EFF" w:rsidP="00BE0EFF">
      <w:pPr>
        <w:spacing w:after="0" w:line="240" w:lineRule="auto"/>
        <w:jc w:val="both"/>
        <w:rPr>
          <w:rFonts w:ascii="Cambria" w:eastAsia="Batang" w:hAnsi="Cambria" w:cs="Calibri Light"/>
          <w:b/>
          <w:color w:val="080808"/>
          <w:sz w:val="20"/>
          <w:szCs w:val="20"/>
          <w:lang w:val="es-CO"/>
        </w:rPr>
      </w:pPr>
    </w:p>
    <w:p w14:paraId="3EA1D33D" w14:textId="77777777" w:rsidR="00BE0EFF" w:rsidRPr="00336FFF" w:rsidRDefault="00BE0EFF" w:rsidP="00BE0EFF">
      <w:pPr>
        <w:pStyle w:val="ListParagraph"/>
        <w:numPr>
          <w:ilvl w:val="0"/>
          <w:numId w:val="37"/>
        </w:numPr>
        <w:spacing w:after="0" w:line="240" w:lineRule="auto"/>
        <w:ind w:firstLine="259"/>
        <w:jc w:val="both"/>
        <w:rPr>
          <w:rFonts w:ascii="Cambria" w:eastAsia="Batang" w:hAnsi="Cambria" w:cs="Calibri Light"/>
          <w:b/>
          <w:color w:val="080808"/>
          <w:lang w:val="es-CO"/>
        </w:rPr>
      </w:pPr>
      <w:r w:rsidRPr="00336FFF">
        <w:rPr>
          <w:rFonts w:ascii="Cambria" w:eastAsia="Batang" w:hAnsi="Cambria" w:cs="Calibri Light"/>
          <w:b/>
          <w:color w:val="080808"/>
          <w:lang w:val="es-CO"/>
        </w:rPr>
        <w:t xml:space="preserve">RESULTADOS INDIVIDUALES Y ESTRUCTURALES DEL CASO </w:t>
      </w:r>
    </w:p>
    <w:p w14:paraId="6131B029" w14:textId="77777777" w:rsidR="00BE0EFF" w:rsidRPr="00BE0EFF" w:rsidRDefault="00BE0EFF" w:rsidP="00BE0EFF">
      <w:pPr>
        <w:spacing w:after="0" w:line="240" w:lineRule="auto"/>
        <w:ind w:firstLine="720"/>
        <w:contextualSpacing/>
        <w:jc w:val="both"/>
        <w:rPr>
          <w:rFonts w:ascii="Cambria" w:eastAsia="Batang" w:hAnsi="Cambria" w:cs="Calibri Light"/>
          <w:b/>
          <w:color w:val="080808"/>
          <w:lang w:val="es-CO"/>
        </w:rPr>
      </w:pPr>
    </w:p>
    <w:p w14:paraId="4A400F67" w14:textId="77777777" w:rsidR="00BE0EFF" w:rsidRPr="00493861" w:rsidRDefault="00BE0EFF" w:rsidP="00EA495C">
      <w:pPr>
        <w:numPr>
          <w:ilvl w:val="1"/>
          <w:numId w:val="37"/>
        </w:numPr>
        <w:spacing w:after="0" w:line="240" w:lineRule="auto"/>
        <w:ind w:left="0" w:firstLine="720"/>
        <w:contextualSpacing/>
        <w:jc w:val="both"/>
        <w:rPr>
          <w:rFonts w:ascii="Cambria" w:eastAsia="Batang" w:hAnsi="Cambria" w:cs="Calibri Light"/>
          <w:b/>
          <w:color w:val="080808"/>
          <w:sz w:val="20"/>
          <w:szCs w:val="20"/>
          <w:lang w:val="es-CO"/>
        </w:rPr>
      </w:pPr>
      <w:r w:rsidRPr="00493861">
        <w:rPr>
          <w:rFonts w:ascii="Cambria" w:eastAsia="Batang" w:hAnsi="Cambria" w:cs="Calibri Light"/>
          <w:b/>
          <w:color w:val="080808"/>
          <w:sz w:val="20"/>
          <w:szCs w:val="20"/>
          <w:lang w:val="es-CO"/>
        </w:rPr>
        <w:t>Resultados individuales del caso</w:t>
      </w:r>
    </w:p>
    <w:p w14:paraId="2B4DE883" w14:textId="77777777" w:rsidR="00BE0EFF" w:rsidRPr="00493861" w:rsidRDefault="00BE0EFF" w:rsidP="00EA495C">
      <w:pPr>
        <w:spacing w:after="0" w:line="240" w:lineRule="auto"/>
        <w:jc w:val="both"/>
        <w:rPr>
          <w:rFonts w:ascii="Cambria" w:hAnsi="Cambria"/>
          <w:color w:val="080808"/>
          <w:sz w:val="20"/>
          <w:szCs w:val="20"/>
          <w:lang w:val="es-CO"/>
        </w:rPr>
      </w:pPr>
    </w:p>
    <w:p w14:paraId="349AF1E3" w14:textId="7D0443FB" w:rsidR="00BE0EFF" w:rsidRPr="00493861" w:rsidRDefault="00BE0EFF" w:rsidP="00493861">
      <w:pPr>
        <w:numPr>
          <w:ilvl w:val="0"/>
          <w:numId w:val="16"/>
        </w:numPr>
        <w:spacing w:after="0" w:line="240" w:lineRule="auto"/>
        <w:ind w:left="1440" w:hanging="720"/>
        <w:contextualSpacing/>
        <w:jc w:val="both"/>
        <w:rPr>
          <w:rFonts w:ascii="Cambria" w:eastAsia="Batang" w:hAnsi="Cambria" w:cs="Calibri Light"/>
          <w:b/>
          <w:color w:val="000000"/>
          <w:sz w:val="20"/>
          <w:szCs w:val="20"/>
          <w:lang w:val="es-CO"/>
        </w:rPr>
      </w:pPr>
      <w:r w:rsidRPr="00493861">
        <w:rPr>
          <w:rFonts w:ascii="Cambria" w:eastAsia="Batang" w:hAnsi="Cambria"/>
          <w:color w:val="000000"/>
          <w:sz w:val="20"/>
          <w:szCs w:val="20"/>
          <w:lang w:val="es-ES_tradnl"/>
        </w:rPr>
        <w:t xml:space="preserve">El Estado de Guatemala reconoció </w:t>
      </w:r>
      <w:r w:rsidRPr="00493861">
        <w:rPr>
          <w:rFonts w:ascii="Cambria" w:eastAsia="Times New Roman" w:hAnsi="Cambria"/>
          <w:sz w:val="20"/>
          <w:szCs w:val="20"/>
          <w:lang w:val="es-ES_tradnl"/>
        </w:rPr>
        <w:t>el derecho humano de participación política de los solicitantes y la no procedencia de su limitación o restricción por ningún motivo, partiendo de la igualdad de derechos que le asiste a los hombres y mujeres para participar e involucrarse en la vida política de la Nación, siempre y cuando se cumplan los requisitos habilitantes que deberán ser calificados por las entidades correspondientes, previo a participar a un cargo de elección popular.</w:t>
      </w:r>
    </w:p>
    <w:p w14:paraId="476BF071" w14:textId="77777777" w:rsidR="00BE0EFF" w:rsidRPr="00493861" w:rsidRDefault="00BE0EFF" w:rsidP="00493861">
      <w:pPr>
        <w:spacing w:after="0" w:line="240" w:lineRule="auto"/>
        <w:ind w:firstLine="720"/>
        <w:contextualSpacing/>
        <w:jc w:val="both"/>
        <w:rPr>
          <w:rFonts w:ascii="Cambria" w:eastAsia="Batang" w:hAnsi="Cambria" w:cs="Calibri Light"/>
          <w:b/>
          <w:color w:val="000000"/>
          <w:sz w:val="20"/>
          <w:szCs w:val="20"/>
          <w:lang w:val="es-CO"/>
        </w:rPr>
      </w:pPr>
    </w:p>
    <w:p w14:paraId="373E6FE0" w14:textId="72B990CB" w:rsidR="00BE0EFF" w:rsidRPr="00493861" w:rsidRDefault="00BE0EFF" w:rsidP="00493861">
      <w:pPr>
        <w:pStyle w:val="ListParagraph"/>
        <w:numPr>
          <w:ilvl w:val="1"/>
          <w:numId w:val="37"/>
        </w:numPr>
        <w:spacing w:after="0" w:line="240" w:lineRule="auto"/>
        <w:ind w:left="0" w:firstLine="720"/>
        <w:jc w:val="both"/>
        <w:rPr>
          <w:rFonts w:ascii="Cambria" w:eastAsia="Batang" w:hAnsi="Cambria" w:cs="Calibri Light"/>
          <w:b/>
          <w:color w:val="000000"/>
          <w:sz w:val="20"/>
          <w:szCs w:val="20"/>
          <w:lang w:val="es-CO"/>
        </w:rPr>
      </w:pPr>
      <w:r w:rsidRPr="00493861">
        <w:rPr>
          <w:rFonts w:ascii="Cambria" w:eastAsia="Batang" w:hAnsi="Cambria" w:cs="Calibri Light"/>
          <w:b/>
          <w:color w:val="000000"/>
          <w:sz w:val="20"/>
          <w:szCs w:val="20"/>
          <w:lang w:val="es-CO"/>
        </w:rPr>
        <w:t>Resultados estructurales del caso</w:t>
      </w:r>
    </w:p>
    <w:p w14:paraId="7156C781" w14:textId="77777777" w:rsidR="00BE0EFF" w:rsidRPr="00493861" w:rsidRDefault="00BE0EFF" w:rsidP="00493861">
      <w:pPr>
        <w:pStyle w:val="ListParagraph"/>
        <w:spacing w:line="240" w:lineRule="auto"/>
        <w:ind w:left="0" w:firstLine="720"/>
        <w:jc w:val="both"/>
        <w:rPr>
          <w:rFonts w:ascii="Cambria" w:eastAsia="Batang" w:hAnsi="Cambria" w:cs="Calibri Light"/>
          <w:b/>
          <w:color w:val="000000"/>
          <w:sz w:val="20"/>
          <w:szCs w:val="20"/>
          <w:lang w:val="es-CO"/>
        </w:rPr>
      </w:pPr>
    </w:p>
    <w:p w14:paraId="2930859E" w14:textId="77777777" w:rsidR="00BE0EFF" w:rsidRPr="00493861" w:rsidRDefault="00BE0EFF" w:rsidP="00493861">
      <w:pPr>
        <w:pStyle w:val="ListParagraph"/>
        <w:numPr>
          <w:ilvl w:val="0"/>
          <w:numId w:val="43"/>
        </w:numPr>
        <w:spacing w:after="0" w:line="240" w:lineRule="auto"/>
        <w:ind w:hanging="720"/>
        <w:jc w:val="both"/>
        <w:rPr>
          <w:rFonts w:ascii="Cambria" w:eastAsia="Batang" w:hAnsi="Cambria" w:cs="Calibri Light"/>
          <w:bCs/>
          <w:color w:val="000000"/>
          <w:sz w:val="20"/>
          <w:szCs w:val="20"/>
          <w:lang w:val="es-CO"/>
        </w:rPr>
      </w:pPr>
      <w:r w:rsidRPr="00493861">
        <w:rPr>
          <w:rFonts w:ascii="Cambria" w:eastAsia="Batang" w:hAnsi="Cambria" w:cs="Calibri Light"/>
          <w:bCs/>
          <w:color w:val="000000"/>
          <w:sz w:val="20"/>
          <w:szCs w:val="20"/>
          <w:lang w:val="es-CO"/>
        </w:rPr>
        <w:t xml:space="preserve">Se realizaron dos campañas de sensibilización para promover la igualdad de participación política de las mujeres en la vida política del Estado de Guatemala, impulsando el proyecto “Mujer, participa y empodérate”, difundiendo </w:t>
      </w:r>
      <w:r w:rsidRPr="00493861">
        <w:rPr>
          <w:rFonts w:ascii="Cambria" w:eastAsia="Batang" w:hAnsi="Cambria"/>
          <w:color w:val="000000"/>
          <w:sz w:val="20"/>
          <w:szCs w:val="20"/>
          <w:lang w:val="es-ES_tradnl"/>
        </w:rPr>
        <w:t>las mismas a través de medios de comunicación masiva, incluyendo páginas institucionales y plataformas de redes sociales tales como Facebook, Instagram y Whatsapp.</w:t>
      </w:r>
    </w:p>
    <w:p w14:paraId="4582CBA6" w14:textId="77777777" w:rsidR="00BE0EFF" w:rsidRPr="00493861" w:rsidRDefault="00BE0EFF" w:rsidP="00493861">
      <w:pPr>
        <w:pStyle w:val="ListParagraph"/>
        <w:numPr>
          <w:ilvl w:val="0"/>
          <w:numId w:val="43"/>
        </w:numPr>
        <w:spacing w:after="0" w:line="240" w:lineRule="auto"/>
        <w:ind w:hanging="720"/>
        <w:jc w:val="both"/>
        <w:rPr>
          <w:rFonts w:ascii="Cambria" w:eastAsia="Batang" w:hAnsi="Cambria" w:cs="Calibri Light"/>
          <w:bCs/>
          <w:color w:val="000000"/>
          <w:sz w:val="20"/>
          <w:szCs w:val="20"/>
          <w:lang w:val="es-CO"/>
        </w:rPr>
      </w:pPr>
      <w:r w:rsidRPr="00493861">
        <w:rPr>
          <w:rFonts w:ascii="Cambria" w:eastAsia="Batang" w:hAnsi="Cambria" w:cs="Calibri Light"/>
          <w:bCs/>
          <w:color w:val="000000"/>
          <w:sz w:val="20"/>
          <w:szCs w:val="20"/>
          <w:lang w:val="es-CO"/>
        </w:rPr>
        <w:t xml:space="preserve">Los días 28 de julio y 29 de septiembre de 2022, en la Ciudad de Guatemala y el Departamento de Quetzaltenango, respectivamente, se llevaron a cabo dos foros </w:t>
      </w:r>
      <w:r w:rsidRPr="00493861">
        <w:rPr>
          <w:rFonts w:ascii="Cambria" w:hAnsi="Cambria"/>
          <w:bCs/>
          <w:sz w:val="20"/>
          <w:szCs w:val="20"/>
          <w:lang w:val="es-ES_tradnl"/>
        </w:rPr>
        <w:t xml:space="preserve">con las distintitas instituciones educativas privadas y públicas a efecto de fomentar la igualdad en la participación política de las mujeres en la vida política del Estado de Guatemala. Los mismos contaron con la participación de 483 </w:t>
      </w:r>
      <w:r w:rsidRPr="00493861">
        <w:rPr>
          <w:rFonts w:ascii="Cambria" w:eastAsia="Batang" w:hAnsi="Cambria"/>
          <w:bCs/>
          <w:color w:val="000000"/>
          <w:sz w:val="20"/>
          <w:szCs w:val="20"/>
          <w:lang w:val="es-ES_tradnl"/>
        </w:rPr>
        <w:t xml:space="preserve">estudiantes del último año de nivel diversificado, estudiantes universitarios y público en general. </w:t>
      </w:r>
    </w:p>
    <w:p w14:paraId="1A651A51" w14:textId="7455354A" w:rsidR="00985194" w:rsidRPr="00493861" w:rsidRDefault="00BE0EFF" w:rsidP="00493861">
      <w:pPr>
        <w:pStyle w:val="ListParagraph"/>
        <w:numPr>
          <w:ilvl w:val="0"/>
          <w:numId w:val="43"/>
        </w:numPr>
        <w:spacing w:after="0" w:line="240" w:lineRule="auto"/>
        <w:ind w:hanging="720"/>
        <w:jc w:val="both"/>
        <w:rPr>
          <w:rFonts w:ascii="Cambria" w:eastAsia="Batang" w:hAnsi="Cambria"/>
          <w:color w:val="000000"/>
          <w:sz w:val="20"/>
          <w:szCs w:val="20"/>
          <w:lang w:val="es-ES_tradnl"/>
        </w:rPr>
      </w:pPr>
      <w:r w:rsidRPr="00493861">
        <w:rPr>
          <w:rFonts w:ascii="Cambria" w:eastAsia="Batang" w:hAnsi="Cambria"/>
          <w:bCs/>
          <w:color w:val="000000"/>
          <w:sz w:val="20"/>
          <w:szCs w:val="20"/>
          <w:lang w:val="es-ES_tradnl"/>
        </w:rPr>
        <w:t xml:space="preserve">Los días 14 de julio y 25 de agosto de 2022, en el Municipio de Cobán y </w:t>
      </w:r>
      <w:r w:rsidRPr="00493861">
        <w:rPr>
          <w:rFonts w:ascii="Cambria" w:eastAsia="Batang" w:hAnsi="Cambria"/>
          <w:color w:val="000000"/>
          <w:sz w:val="20"/>
          <w:szCs w:val="20"/>
          <w:lang w:val="es-ES_tradnl"/>
        </w:rPr>
        <w:t>en el municipio de Antigua Guatemala, departamento de Sacatepéquez respectivamente, se llevaron a cabo dos conversatorios denominados “Participación Política de la Mujer” con una modalidad participativa. De dichas actividades se benefició a un total de 919 participantes, de los cuales 87% fueron mujeres, 57% en el rango de edad de 13 a 30 años, 61% de los participantes se identificaron como ladinos/mestizos y 39% se identificó como pueblo may</w:t>
      </w:r>
      <w:r w:rsidR="00985194" w:rsidRPr="00493861">
        <w:rPr>
          <w:rFonts w:ascii="Cambria" w:eastAsia="Batang" w:hAnsi="Cambria"/>
          <w:color w:val="000000"/>
          <w:sz w:val="20"/>
          <w:szCs w:val="20"/>
          <w:lang w:val="es-ES_tradnl"/>
        </w:rPr>
        <w:t>a</w:t>
      </w:r>
    </w:p>
    <w:p w14:paraId="5E2CE4CA" w14:textId="5C9CAC00" w:rsidR="003B3362" w:rsidRPr="00493861" w:rsidRDefault="003B3362" w:rsidP="00EA495C">
      <w:pPr>
        <w:spacing w:after="0" w:line="240" w:lineRule="auto"/>
        <w:ind w:right="72"/>
        <w:jc w:val="both"/>
        <w:rPr>
          <w:rFonts w:ascii="Cambria" w:eastAsia="Times New Roman" w:hAnsi="Cambria"/>
          <w:sz w:val="20"/>
          <w:szCs w:val="20"/>
          <w:highlight w:val="yellow"/>
          <w:lang w:val="es-CO" w:eastAsia="es-ES_tradnl"/>
        </w:rPr>
      </w:pPr>
    </w:p>
    <w:sectPr w:rsidR="003B3362" w:rsidRPr="00493861" w:rsidSect="0037575B">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0C3B" w14:textId="77777777" w:rsidR="003C64ED" w:rsidRDefault="003C64ED" w:rsidP="00A343FF">
      <w:pPr>
        <w:spacing w:after="0" w:line="240" w:lineRule="auto"/>
      </w:pPr>
      <w:r>
        <w:separator/>
      </w:r>
    </w:p>
  </w:endnote>
  <w:endnote w:type="continuationSeparator" w:id="0">
    <w:p w14:paraId="1169339D" w14:textId="77777777" w:rsidR="003C64ED" w:rsidRDefault="003C64ED"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957438"/>
      <w:docPartObj>
        <w:docPartGallery w:val="Page Numbers (Bottom of Page)"/>
        <w:docPartUnique/>
      </w:docPartObj>
    </w:sdtPr>
    <w:sdtEndPr>
      <w:rPr>
        <w:sz w:val="16"/>
        <w:szCs w:val="16"/>
      </w:rPr>
    </w:sdtEndPr>
    <w:sdtContent>
      <w:p w14:paraId="15696CD4" w14:textId="762B8EAB" w:rsidR="007F621D" w:rsidRPr="007F621D" w:rsidRDefault="007F621D">
        <w:pPr>
          <w:pStyle w:val="Footer"/>
          <w:jc w:val="center"/>
          <w:rPr>
            <w:sz w:val="16"/>
            <w:szCs w:val="16"/>
          </w:rPr>
        </w:pPr>
        <w:r w:rsidRPr="007F621D">
          <w:rPr>
            <w:sz w:val="16"/>
            <w:szCs w:val="16"/>
          </w:rPr>
          <w:fldChar w:fldCharType="begin"/>
        </w:r>
        <w:r w:rsidRPr="007F621D">
          <w:rPr>
            <w:sz w:val="16"/>
            <w:szCs w:val="16"/>
          </w:rPr>
          <w:instrText>PAGE   \* MERGEFORMAT</w:instrText>
        </w:r>
        <w:r w:rsidRPr="007F621D">
          <w:rPr>
            <w:sz w:val="16"/>
            <w:szCs w:val="16"/>
          </w:rPr>
          <w:fldChar w:fldCharType="separate"/>
        </w:r>
        <w:r w:rsidRPr="007F621D">
          <w:rPr>
            <w:sz w:val="16"/>
            <w:szCs w:val="16"/>
            <w:lang w:val="es-ES"/>
          </w:rPr>
          <w:t>2</w:t>
        </w:r>
        <w:r w:rsidRPr="007F621D">
          <w:rPr>
            <w:sz w:val="16"/>
            <w:szCs w:val="16"/>
          </w:rPr>
          <w:fldChar w:fldCharType="end"/>
        </w:r>
      </w:p>
    </w:sdtContent>
  </w:sdt>
  <w:p w14:paraId="34A0BC6D" w14:textId="77777777" w:rsidR="007F621D" w:rsidRDefault="007F6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05F" w14:textId="3B022A22" w:rsidR="007F621D" w:rsidRDefault="007F621D" w:rsidP="00DF7D91">
    <w:pPr>
      <w:pStyle w:val="Footer"/>
      <w:jc w:val="center"/>
    </w:pPr>
    <w:r>
      <w:rPr>
        <w:noProof/>
      </w:rPr>
      <w:drawing>
        <wp:inline distT="0" distB="0" distL="0" distR="0" wp14:anchorId="5D172A4C" wp14:editId="5CBE9E8B">
          <wp:extent cx="5235575" cy="324485"/>
          <wp:effectExtent l="0" t="0" r="0" b="0"/>
          <wp:docPr id="1010146553" name="Imagen 1010146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7755" w14:textId="77777777" w:rsidR="003C64ED" w:rsidRDefault="003C64ED" w:rsidP="00A343FF">
      <w:pPr>
        <w:spacing w:after="0" w:line="240" w:lineRule="auto"/>
      </w:pPr>
      <w:r>
        <w:separator/>
      </w:r>
    </w:p>
  </w:footnote>
  <w:footnote w:type="continuationSeparator" w:id="0">
    <w:p w14:paraId="11A05DEF" w14:textId="77777777" w:rsidR="003C64ED" w:rsidRDefault="003C64ED" w:rsidP="00A343FF">
      <w:pPr>
        <w:spacing w:after="0" w:line="240" w:lineRule="auto"/>
      </w:pPr>
      <w:r>
        <w:continuationSeparator/>
      </w:r>
    </w:p>
  </w:footnote>
  <w:footnote w:id="1">
    <w:p w14:paraId="10E83222" w14:textId="7B202CE2" w:rsidR="00C33DC3" w:rsidRPr="00CC29B8" w:rsidRDefault="00C33DC3" w:rsidP="00A95E1B">
      <w:pPr>
        <w:pStyle w:val="FootnoteText"/>
        <w:spacing w:after="0" w:line="240" w:lineRule="auto"/>
        <w:ind w:firstLine="709"/>
        <w:jc w:val="both"/>
        <w:rPr>
          <w:lang w:val="es-AR"/>
        </w:rPr>
      </w:pPr>
      <w:r w:rsidRPr="00493861">
        <w:rPr>
          <w:rStyle w:val="FootnoteReference"/>
          <w:rFonts w:ascii="Cambria" w:hAnsi="Cambria"/>
          <w:sz w:val="16"/>
          <w:szCs w:val="16"/>
        </w:rPr>
        <w:footnoteRef/>
      </w:r>
      <w:r w:rsidRPr="00493861">
        <w:rPr>
          <w:rFonts w:ascii="Cambria" w:hAnsi="Cambria"/>
          <w:sz w:val="16"/>
          <w:szCs w:val="16"/>
          <w:lang w:val="es-AR"/>
        </w:rPr>
        <w:t xml:space="preserve"> </w:t>
      </w:r>
      <w:r w:rsidRPr="00493861">
        <w:rPr>
          <w:rFonts w:ascii="Cambria" w:hAnsi="Cambria"/>
          <w:color w:val="000000"/>
          <w:sz w:val="16"/>
          <w:szCs w:val="16"/>
          <w:lang w:val="es-ES"/>
        </w:rPr>
        <w:t xml:space="preserve">Ver CIDH, </w:t>
      </w:r>
      <w:r w:rsidRPr="00493861">
        <w:rPr>
          <w:rFonts w:ascii="Cambria" w:hAnsi="Cambria"/>
          <w:i/>
          <w:iCs/>
          <w:color w:val="000000"/>
          <w:sz w:val="16"/>
          <w:szCs w:val="16"/>
          <w:lang w:val="es-ES"/>
        </w:rPr>
        <w:t>Informe Anual 2023</w:t>
      </w:r>
      <w:r w:rsidRPr="00493861">
        <w:rPr>
          <w:rFonts w:ascii="Cambria" w:hAnsi="Cambria"/>
          <w:color w:val="000000"/>
          <w:sz w:val="16"/>
          <w:szCs w:val="16"/>
          <w:lang w:val="es-ES"/>
        </w:rPr>
        <w:t xml:space="preserve">, Capítulo II, Sección C. </w:t>
      </w:r>
      <w:r w:rsidRPr="00493861">
        <w:rPr>
          <w:rStyle w:val="ui-provider"/>
          <w:rFonts w:ascii="Cambria" w:hAnsi="Cambria"/>
          <w:sz w:val="16"/>
          <w:szCs w:val="16"/>
          <w:lang w:val="es-AR"/>
        </w:rPr>
        <w:t>Avances y retrocesos en materia de negociación e implementación de acuerdos de solución amistosa</w:t>
      </w:r>
      <w:r w:rsidRPr="00493861">
        <w:rPr>
          <w:rFonts w:ascii="Cambria" w:hAnsi="Cambria"/>
          <w:color w:val="000000"/>
          <w:sz w:val="16"/>
          <w:szCs w:val="16"/>
          <w:lang w:val="es-ES"/>
        </w:rPr>
        <w:t xml:space="preserve">. </w:t>
      </w:r>
      <w:r w:rsidRPr="00493861">
        <w:rPr>
          <w:rFonts w:ascii="Cambria" w:hAnsi="Cambria"/>
          <w:color w:val="000000"/>
          <w:sz w:val="16"/>
          <w:szCs w:val="16"/>
          <w:lang w:val="es-CO"/>
        </w:rPr>
        <w:t>Disponible en:</w:t>
      </w:r>
      <w:r w:rsidR="00EA495C" w:rsidRPr="00CC29B8">
        <w:rPr>
          <w:rFonts w:ascii="Cambria" w:hAnsi="Cambria"/>
          <w:color w:val="000000"/>
          <w:sz w:val="16"/>
          <w:szCs w:val="16"/>
          <w:lang w:val="es-CO"/>
        </w:rPr>
        <w:t xml:space="preserve"> </w:t>
      </w:r>
      <w:hyperlink r:id="rId1" w:history="1">
        <w:r w:rsidR="00EA495C" w:rsidRPr="00CC29B8">
          <w:rPr>
            <w:rStyle w:val="Hyperlink"/>
            <w:rFonts w:ascii="Cambria" w:hAnsi="Cambria"/>
            <w:sz w:val="16"/>
            <w:szCs w:val="16"/>
            <w:lang w:val="es-ES"/>
          </w:rPr>
          <w:t>https://www.oas.org/es/cidh/docs/anual/2023/capitulos/IA2023_Cap_2_SPA.PDF</w:t>
        </w:r>
      </w:hyperlink>
    </w:p>
  </w:footnote>
  <w:footnote w:id="2">
    <w:p w14:paraId="70C61813" w14:textId="248E4A6A" w:rsidR="00C33DC3" w:rsidRPr="002B46D3" w:rsidRDefault="0012699F" w:rsidP="00A95E1B">
      <w:pPr>
        <w:pStyle w:val="FootnoteText"/>
        <w:spacing w:after="0" w:line="240" w:lineRule="auto"/>
        <w:ind w:firstLine="709"/>
        <w:jc w:val="both"/>
        <w:rPr>
          <w:rFonts w:ascii="Cambria" w:hAnsi="Cambria"/>
          <w:sz w:val="16"/>
          <w:szCs w:val="16"/>
          <w:lang w:val="es-AR"/>
        </w:rPr>
      </w:pPr>
      <w:r w:rsidRPr="00493861">
        <w:rPr>
          <w:rStyle w:val="FootnoteReference"/>
          <w:rFonts w:ascii="Cambria" w:hAnsi="Cambria"/>
          <w:sz w:val="16"/>
          <w:szCs w:val="16"/>
        </w:rPr>
        <w:footnoteRef/>
      </w:r>
      <w:r w:rsidRPr="00493861">
        <w:rPr>
          <w:rFonts w:ascii="Cambria" w:hAnsi="Cambria"/>
          <w:sz w:val="16"/>
          <w:szCs w:val="16"/>
          <w:lang w:val="es-ES"/>
        </w:rPr>
        <w:t xml:space="preserve"> </w:t>
      </w:r>
      <w:r w:rsidR="00C33DC3" w:rsidRPr="00493861">
        <w:rPr>
          <w:rFonts w:ascii="Cambria" w:hAnsi="Cambria"/>
          <w:color w:val="000000"/>
          <w:sz w:val="16"/>
          <w:szCs w:val="16"/>
          <w:lang w:val="es-ES"/>
        </w:rPr>
        <w:t xml:space="preserve">Ver CIDH, </w:t>
      </w:r>
      <w:r w:rsidR="00C33DC3" w:rsidRPr="00493861">
        <w:rPr>
          <w:rFonts w:ascii="Cambria" w:hAnsi="Cambria"/>
          <w:i/>
          <w:iCs/>
          <w:color w:val="000000"/>
          <w:sz w:val="16"/>
          <w:szCs w:val="16"/>
          <w:lang w:val="es-ES"/>
        </w:rPr>
        <w:t>Informe Anual 2023</w:t>
      </w:r>
      <w:r w:rsidR="00C33DC3" w:rsidRPr="00493861">
        <w:rPr>
          <w:rFonts w:ascii="Cambria" w:hAnsi="Cambria"/>
          <w:color w:val="000000"/>
          <w:sz w:val="16"/>
          <w:szCs w:val="16"/>
          <w:lang w:val="es-ES"/>
        </w:rPr>
        <w:t xml:space="preserve">, Capítulo II, Sección C. </w:t>
      </w:r>
      <w:r w:rsidR="00C33DC3" w:rsidRPr="00493861">
        <w:rPr>
          <w:rStyle w:val="ui-provider"/>
          <w:rFonts w:ascii="Cambria" w:hAnsi="Cambria"/>
          <w:sz w:val="16"/>
          <w:szCs w:val="16"/>
          <w:lang w:val="es-AR"/>
        </w:rPr>
        <w:t>Avances y retrocesos en materia de negociación e implementación de acuerdos de solución amistosa</w:t>
      </w:r>
      <w:r w:rsidR="00C33DC3" w:rsidRPr="00493861">
        <w:rPr>
          <w:rFonts w:ascii="Cambria" w:hAnsi="Cambria"/>
          <w:color w:val="000000"/>
          <w:sz w:val="16"/>
          <w:szCs w:val="16"/>
          <w:lang w:val="es-ES"/>
        </w:rPr>
        <w:t xml:space="preserve">. </w:t>
      </w:r>
      <w:r w:rsidR="00C33DC3" w:rsidRPr="00493861">
        <w:rPr>
          <w:rFonts w:ascii="Cambria" w:hAnsi="Cambria"/>
          <w:color w:val="000000"/>
          <w:sz w:val="16"/>
          <w:szCs w:val="16"/>
          <w:lang w:val="es-CO"/>
        </w:rPr>
        <w:t>Disponible en:</w:t>
      </w:r>
      <w:r w:rsidR="00EA495C" w:rsidRPr="00CC29B8">
        <w:rPr>
          <w:rFonts w:ascii="Cambria" w:hAnsi="Cambria"/>
          <w:color w:val="000000"/>
          <w:sz w:val="16"/>
          <w:szCs w:val="16"/>
          <w:lang w:val="es-CO"/>
        </w:rPr>
        <w:t xml:space="preserve"> </w:t>
      </w:r>
      <w:hyperlink r:id="rId2" w:history="1">
        <w:r w:rsidR="00EA495C" w:rsidRPr="00CC29B8">
          <w:rPr>
            <w:rStyle w:val="Hyperlink"/>
            <w:rFonts w:ascii="Cambria" w:hAnsi="Cambria"/>
            <w:sz w:val="16"/>
            <w:szCs w:val="16"/>
            <w:lang w:val="es-ES"/>
          </w:rPr>
          <w:t>https://www.oas.org/es/cidh/docs/anual/2023/capitulos/IA2023_Cap_2_SPA.PDF</w:t>
        </w:r>
      </w:hyperlink>
    </w:p>
    <w:p w14:paraId="6BA91017" w14:textId="7A9673E1" w:rsidR="0012699F" w:rsidRPr="00254A60" w:rsidRDefault="0012699F" w:rsidP="008E1EB3">
      <w:pPr>
        <w:pStyle w:val="FootnoteText"/>
        <w:spacing w:after="0" w:line="240" w:lineRule="auto"/>
        <w:ind w:firstLine="709"/>
        <w:jc w:val="both"/>
        <w:rPr>
          <w:rFonts w:ascii="Cambria" w:hAnsi="Cambria"/>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825E" w14:textId="77777777" w:rsidR="007F621D" w:rsidRPr="0058688A" w:rsidRDefault="007F621D" w:rsidP="007F621D">
    <w:pPr>
      <w:pStyle w:val="Header"/>
      <w:jc w:val="center"/>
      <w:rPr>
        <w:lang w:val="es-ES_tradnl"/>
      </w:rPr>
    </w:pPr>
    <w:bookmarkStart w:id="1" w:name="_Hlk129090305"/>
    <w:bookmarkStart w:id="2" w:name="_Hlk129090306"/>
    <w:bookmarkStart w:id="3" w:name="_Hlk129090399"/>
    <w:bookmarkStart w:id="4" w:name="_Hlk129090400"/>
    <w:bookmarkStart w:id="5" w:name="_Hlk129090413"/>
    <w:bookmarkStart w:id="6" w:name="_Hlk129090414"/>
    <w:bookmarkStart w:id="7" w:name="_Hlk129090871"/>
    <w:bookmarkStart w:id="8" w:name="_Hlk129090872"/>
    <w:bookmarkStart w:id="9" w:name="_Hlk129091030"/>
    <w:bookmarkStart w:id="10" w:name="_Hlk129091031"/>
    <w:bookmarkStart w:id="11" w:name="_Hlk129091177"/>
    <w:bookmarkStart w:id="12" w:name="_Hlk129091178"/>
    <w:bookmarkStart w:id="13" w:name="_Hlk129091943"/>
    <w:bookmarkStart w:id="14" w:name="_Hlk129091944"/>
    <w:bookmarkStart w:id="15" w:name="_Hlk129091951"/>
    <w:bookmarkStart w:id="16" w:name="_Hlk129091952"/>
    <w:bookmarkStart w:id="17" w:name="_Hlk129091955"/>
    <w:bookmarkStart w:id="18" w:name="_Hlk129091956"/>
    <w:bookmarkStart w:id="19" w:name="_Hlk129091959"/>
    <w:bookmarkStart w:id="20" w:name="_Hlk129091960"/>
    <w:bookmarkStart w:id="21" w:name="_Hlk129091963"/>
    <w:bookmarkStart w:id="22" w:name="_Hlk129091964"/>
    <w:bookmarkStart w:id="23" w:name="_Hlk129091966"/>
    <w:bookmarkStart w:id="24" w:name="_Hlk129091967"/>
    <w:bookmarkStart w:id="25" w:name="_Hlk129091970"/>
    <w:bookmarkStart w:id="26" w:name="_Hlk129091971"/>
    <w:bookmarkStart w:id="27" w:name="_Hlk129092063"/>
    <w:bookmarkStart w:id="28" w:name="_Hlk129092064"/>
    <w:r>
      <w:rPr>
        <w:noProof/>
        <w:lang w:val="es-ES_tradnl"/>
      </w:rPr>
      <w:drawing>
        <wp:inline distT="0" distB="0" distL="0" distR="0" wp14:anchorId="5B519219" wp14:editId="635EA145">
          <wp:extent cx="2286000" cy="118110"/>
          <wp:effectExtent l="0" t="0" r="0" b="0"/>
          <wp:docPr id="6136354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59548E85" w14:textId="16578C4A" w:rsidR="00985194" w:rsidRDefault="004833D0" w:rsidP="007F621D">
    <w:pPr>
      <w:pStyle w:val="Header"/>
    </w:pPr>
    <w:r>
      <w:pict w14:anchorId="32FAD282">
        <v:rect id="_x0000_i1025" style="width:0;height:1.5pt" o:hralign="center" o:hrstd="t" o:hr="t" fillcolor="#a0a0a0" stroked="f"/>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A426" w14:textId="77777777" w:rsidR="007F621D" w:rsidRDefault="007F621D" w:rsidP="007F621D">
    <w:pPr>
      <w:pStyle w:val="Header"/>
    </w:pPr>
    <w:bookmarkStart w:id="29" w:name="_Hlk129090378"/>
    <w:bookmarkStart w:id="30" w:name="_Hlk129090379"/>
    <w:bookmarkStart w:id="31" w:name="_Hlk129090860"/>
    <w:bookmarkStart w:id="32" w:name="_Hlk129090861"/>
    <w:bookmarkStart w:id="33" w:name="_Hlk129091020"/>
    <w:bookmarkStart w:id="34" w:name="_Hlk129091021"/>
    <w:bookmarkStart w:id="35" w:name="_Hlk129091166"/>
    <w:bookmarkStart w:id="36" w:name="_Hlk129091167"/>
    <w:bookmarkStart w:id="37" w:name="_Hlk129091892"/>
    <w:bookmarkStart w:id="38" w:name="_Hlk129091893"/>
    <w:bookmarkStart w:id="39" w:name="_Hlk129091899"/>
    <w:bookmarkStart w:id="40" w:name="_Hlk129091900"/>
    <w:bookmarkStart w:id="41" w:name="_Hlk129091905"/>
    <w:bookmarkStart w:id="42" w:name="_Hlk129091906"/>
    <w:bookmarkStart w:id="43" w:name="_Hlk129091911"/>
    <w:bookmarkStart w:id="44" w:name="_Hlk129091912"/>
    <w:bookmarkStart w:id="45" w:name="_Hlk129091916"/>
    <w:bookmarkStart w:id="46" w:name="_Hlk129091917"/>
    <w:bookmarkStart w:id="47" w:name="_Hlk129091922"/>
    <w:bookmarkStart w:id="48" w:name="_Hlk129091923"/>
    <w:bookmarkStart w:id="49" w:name="_Hlk129091926"/>
    <w:bookmarkStart w:id="50" w:name="_Hlk129091927"/>
    <w:bookmarkStart w:id="51" w:name="_Hlk129092049"/>
    <w:bookmarkStart w:id="52" w:name="_Hlk129092050"/>
    <w:r w:rsidRPr="008A5CB5">
      <w:rPr>
        <w:noProof/>
      </w:rPr>
      <w:drawing>
        <wp:inline distT="0" distB="0" distL="0" distR="0" wp14:anchorId="5F583C95" wp14:editId="5718FEFD">
          <wp:extent cx="2345055" cy="457200"/>
          <wp:effectExtent l="0" t="0" r="0" b="0"/>
          <wp:docPr id="1220400338" name="Picture 1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74FB167C" wp14:editId="5F9A866F">
          <wp:extent cx="1943100" cy="495300"/>
          <wp:effectExtent l="0" t="0" r="0" b="0"/>
          <wp:docPr id="1167794346" name="Picture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30684" name="Picture 1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00372A23" w14:textId="77777777" w:rsidR="007F621D" w:rsidRDefault="004833D0" w:rsidP="007F621D">
    <w:pPr>
      <w:pStyle w:val="Header"/>
    </w:pPr>
    <w:r>
      <w:pict w14:anchorId="6C90381D">
        <v:rect id="_x0000_i1026" style="width:0;height:1.5pt" o:hralign="center" o:hrstd="t" o:hr="t" fillcolor="#a0a0a0" stroked="f"/>
      </w:pic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D308D77" w14:textId="77777777" w:rsidR="00985194" w:rsidRDefault="00985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64CAF"/>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7" w15:restartNumberingAfterBreak="0">
    <w:nsid w:val="194F23D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0" w15:restartNumberingAfterBreak="0">
    <w:nsid w:val="23D677E4"/>
    <w:multiLevelType w:val="hybridMultilevel"/>
    <w:tmpl w:val="BBF0671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D6427B"/>
    <w:multiLevelType w:val="hybridMultilevel"/>
    <w:tmpl w:val="39840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9"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6"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9"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0"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3"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6FA25D2B"/>
    <w:multiLevelType w:val="hybridMultilevel"/>
    <w:tmpl w:val="7E5285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6"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41"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40"/>
  </w:num>
  <w:num w:numId="2" w16cid:durableId="1198784672">
    <w:abstractNumId w:val="3"/>
  </w:num>
  <w:num w:numId="3" w16cid:durableId="946815819">
    <w:abstractNumId w:val="39"/>
  </w:num>
  <w:num w:numId="4" w16cid:durableId="1735083488">
    <w:abstractNumId w:val="23"/>
  </w:num>
  <w:num w:numId="5" w16cid:durableId="1809080309">
    <w:abstractNumId w:val="20"/>
  </w:num>
  <w:num w:numId="6" w16cid:durableId="2000111282">
    <w:abstractNumId w:val="42"/>
  </w:num>
  <w:num w:numId="7" w16cid:durableId="1182233948">
    <w:abstractNumId w:val="11"/>
  </w:num>
  <w:num w:numId="8" w16cid:durableId="653609088">
    <w:abstractNumId w:val="35"/>
  </w:num>
  <w:num w:numId="9" w16cid:durableId="263657786">
    <w:abstractNumId w:val="14"/>
  </w:num>
  <w:num w:numId="10" w16cid:durableId="1629429028">
    <w:abstractNumId w:val="2"/>
  </w:num>
  <w:num w:numId="11" w16cid:durableId="1415277257">
    <w:abstractNumId w:val="9"/>
  </w:num>
  <w:num w:numId="12" w16cid:durableId="98719486">
    <w:abstractNumId w:val="12"/>
  </w:num>
  <w:num w:numId="13" w16cid:durableId="643854056">
    <w:abstractNumId w:val="32"/>
  </w:num>
  <w:num w:numId="14" w16cid:durableId="1517694182">
    <w:abstractNumId w:val="16"/>
  </w:num>
  <w:num w:numId="15" w16cid:durableId="815797891">
    <w:abstractNumId w:val="38"/>
  </w:num>
  <w:num w:numId="16" w16cid:durableId="251282083">
    <w:abstractNumId w:val="8"/>
  </w:num>
  <w:num w:numId="17" w16cid:durableId="1185630687">
    <w:abstractNumId w:val="24"/>
  </w:num>
  <w:num w:numId="18" w16cid:durableId="938754063">
    <w:abstractNumId w:val="30"/>
  </w:num>
  <w:num w:numId="19" w16cid:durableId="287009962">
    <w:abstractNumId w:val="26"/>
  </w:num>
  <w:num w:numId="20" w16cid:durableId="1427114931">
    <w:abstractNumId w:val="0"/>
  </w:num>
  <w:num w:numId="21" w16cid:durableId="1996837994">
    <w:abstractNumId w:val="19"/>
  </w:num>
  <w:num w:numId="22" w16cid:durableId="1249198344">
    <w:abstractNumId w:val="1"/>
  </w:num>
  <w:num w:numId="23" w16cid:durableId="1945647392">
    <w:abstractNumId w:val="28"/>
  </w:num>
  <w:num w:numId="24" w16cid:durableId="537162661">
    <w:abstractNumId w:val="31"/>
  </w:num>
  <w:num w:numId="25" w16cid:durableId="1989938239">
    <w:abstractNumId w:val="21"/>
  </w:num>
  <w:num w:numId="26" w16cid:durableId="1967273059">
    <w:abstractNumId w:val="36"/>
  </w:num>
  <w:num w:numId="27" w16cid:durableId="1065761970">
    <w:abstractNumId w:val="17"/>
  </w:num>
  <w:num w:numId="28" w16cid:durableId="45295993">
    <w:abstractNumId w:val="4"/>
  </w:num>
  <w:num w:numId="29" w16cid:durableId="698167985">
    <w:abstractNumId w:val="25"/>
  </w:num>
  <w:num w:numId="30" w16cid:durableId="1709643113">
    <w:abstractNumId w:val="37"/>
  </w:num>
  <w:num w:numId="31" w16cid:durableId="934480746">
    <w:abstractNumId w:val="33"/>
  </w:num>
  <w:num w:numId="32" w16cid:durableId="541211672">
    <w:abstractNumId w:val="15"/>
  </w:num>
  <w:num w:numId="33" w16cid:durableId="1345130465">
    <w:abstractNumId w:val="29"/>
  </w:num>
  <w:num w:numId="34" w16cid:durableId="1757743752">
    <w:abstractNumId w:val="27"/>
  </w:num>
  <w:num w:numId="35" w16cid:durableId="83184206">
    <w:abstractNumId w:val="5"/>
  </w:num>
  <w:num w:numId="36" w16cid:durableId="1037505896">
    <w:abstractNumId w:val="41"/>
  </w:num>
  <w:num w:numId="37" w16cid:durableId="1162084678">
    <w:abstractNumId w:val="18"/>
  </w:num>
  <w:num w:numId="38" w16cid:durableId="247926190">
    <w:abstractNumId w:val="22"/>
  </w:num>
  <w:num w:numId="39" w16cid:durableId="939029479">
    <w:abstractNumId w:val="34"/>
  </w:num>
  <w:num w:numId="40" w16cid:durableId="740174899">
    <w:abstractNumId w:val="7"/>
  </w:num>
  <w:num w:numId="41" w16cid:durableId="575675376">
    <w:abstractNumId w:val="6"/>
  </w:num>
  <w:num w:numId="42" w16cid:durableId="161509795">
    <w:abstractNumId w:val="10"/>
  </w:num>
  <w:num w:numId="43" w16cid:durableId="14197136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55DB7"/>
    <w:rsid w:val="0006625E"/>
    <w:rsid w:val="00080F92"/>
    <w:rsid w:val="00082741"/>
    <w:rsid w:val="000840A1"/>
    <w:rsid w:val="0009182C"/>
    <w:rsid w:val="000974AD"/>
    <w:rsid w:val="000A0354"/>
    <w:rsid w:val="000A1EFD"/>
    <w:rsid w:val="000F4520"/>
    <w:rsid w:val="000F6AC8"/>
    <w:rsid w:val="00106C59"/>
    <w:rsid w:val="00121A07"/>
    <w:rsid w:val="0012699F"/>
    <w:rsid w:val="00132D55"/>
    <w:rsid w:val="00134455"/>
    <w:rsid w:val="001557FD"/>
    <w:rsid w:val="00162E82"/>
    <w:rsid w:val="00163E52"/>
    <w:rsid w:val="00165C18"/>
    <w:rsid w:val="0016622B"/>
    <w:rsid w:val="00183508"/>
    <w:rsid w:val="001873B5"/>
    <w:rsid w:val="001B1DFD"/>
    <w:rsid w:val="001C0A6D"/>
    <w:rsid w:val="001C230A"/>
    <w:rsid w:val="001C3868"/>
    <w:rsid w:val="001F2517"/>
    <w:rsid w:val="001F495A"/>
    <w:rsid w:val="00212F55"/>
    <w:rsid w:val="0021669C"/>
    <w:rsid w:val="00217A39"/>
    <w:rsid w:val="00217F58"/>
    <w:rsid w:val="00231B7D"/>
    <w:rsid w:val="00237569"/>
    <w:rsid w:val="00250058"/>
    <w:rsid w:val="00254A60"/>
    <w:rsid w:val="00260DDA"/>
    <w:rsid w:val="00266F49"/>
    <w:rsid w:val="00276284"/>
    <w:rsid w:val="00280C07"/>
    <w:rsid w:val="002A1ED6"/>
    <w:rsid w:val="002A39B2"/>
    <w:rsid w:val="002B0B2A"/>
    <w:rsid w:val="002B46E1"/>
    <w:rsid w:val="002C446E"/>
    <w:rsid w:val="002D3FBD"/>
    <w:rsid w:val="002E03E0"/>
    <w:rsid w:val="002F539C"/>
    <w:rsid w:val="00301A2A"/>
    <w:rsid w:val="00324282"/>
    <w:rsid w:val="00360412"/>
    <w:rsid w:val="0037575B"/>
    <w:rsid w:val="00376A6A"/>
    <w:rsid w:val="00393310"/>
    <w:rsid w:val="003A30C8"/>
    <w:rsid w:val="003B3362"/>
    <w:rsid w:val="003B479F"/>
    <w:rsid w:val="003C64ED"/>
    <w:rsid w:val="003D4630"/>
    <w:rsid w:val="003E3690"/>
    <w:rsid w:val="00412204"/>
    <w:rsid w:val="0041423F"/>
    <w:rsid w:val="00425C1D"/>
    <w:rsid w:val="004506DA"/>
    <w:rsid w:val="0047175E"/>
    <w:rsid w:val="00477809"/>
    <w:rsid w:val="004833D0"/>
    <w:rsid w:val="00483B3C"/>
    <w:rsid w:val="00483CF7"/>
    <w:rsid w:val="00493861"/>
    <w:rsid w:val="00497B73"/>
    <w:rsid w:val="004A15BA"/>
    <w:rsid w:val="004A2550"/>
    <w:rsid w:val="004B6622"/>
    <w:rsid w:val="004C0674"/>
    <w:rsid w:val="004C4D9C"/>
    <w:rsid w:val="004D7999"/>
    <w:rsid w:val="004F3537"/>
    <w:rsid w:val="004F3B49"/>
    <w:rsid w:val="00515370"/>
    <w:rsid w:val="00525898"/>
    <w:rsid w:val="00545027"/>
    <w:rsid w:val="0055600F"/>
    <w:rsid w:val="00565615"/>
    <w:rsid w:val="005664CA"/>
    <w:rsid w:val="0058266E"/>
    <w:rsid w:val="0058688A"/>
    <w:rsid w:val="00590BCD"/>
    <w:rsid w:val="00593BAE"/>
    <w:rsid w:val="005A32E4"/>
    <w:rsid w:val="005A5292"/>
    <w:rsid w:val="005A732D"/>
    <w:rsid w:val="005B23B6"/>
    <w:rsid w:val="005C5563"/>
    <w:rsid w:val="005E11CE"/>
    <w:rsid w:val="005E7D95"/>
    <w:rsid w:val="005F4AAA"/>
    <w:rsid w:val="00604132"/>
    <w:rsid w:val="00604F1C"/>
    <w:rsid w:val="00617ED5"/>
    <w:rsid w:val="00622A27"/>
    <w:rsid w:val="006409F9"/>
    <w:rsid w:val="0064287C"/>
    <w:rsid w:val="00643183"/>
    <w:rsid w:val="006440B6"/>
    <w:rsid w:val="00650F99"/>
    <w:rsid w:val="0066572E"/>
    <w:rsid w:val="006753A9"/>
    <w:rsid w:val="00683740"/>
    <w:rsid w:val="006964C0"/>
    <w:rsid w:val="006A40D0"/>
    <w:rsid w:val="006A592E"/>
    <w:rsid w:val="006A6CAF"/>
    <w:rsid w:val="006A6F49"/>
    <w:rsid w:val="006A7144"/>
    <w:rsid w:val="006B4CEC"/>
    <w:rsid w:val="006C60F3"/>
    <w:rsid w:val="006F0429"/>
    <w:rsid w:val="006F4B6C"/>
    <w:rsid w:val="006F6BBC"/>
    <w:rsid w:val="0070714C"/>
    <w:rsid w:val="00745807"/>
    <w:rsid w:val="00747464"/>
    <w:rsid w:val="00754FFE"/>
    <w:rsid w:val="007779B2"/>
    <w:rsid w:val="0078116D"/>
    <w:rsid w:val="00784C39"/>
    <w:rsid w:val="00786A91"/>
    <w:rsid w:val="007A6889"/>
    <w:rsid w:val="007A7ED2"/>
    <w:rsid w:val="007B5306"/>
    <w:rsid w:val="007C2CC3"/>
    <w:rsid w:val="007C351D"/>
    <w:rsid w:val="007D543E"/>
    <w:rsid w:val="007E0808"/>
    <w:rsid w:val="007E3059"/>
    <w:rsid w:val="007E4ED5"/>
    <w:rsid w:val="007E7421"/>
    <w:rsid w:val="007F5A92"/>
    <w:rsid w:val="007F5F4E"/>
    <w:rsid w:val="007F621D"/>
    <w:rsid w:val="007F7616"/>
    <w:rsid w:val="0080116E"/>
    <w:rsid w:val="008012A4"/>
    <w:rsid w:val="008060DE"/>
    <w:rsid w:val="00807BAA"/>
    <w:rsid w:val="00814DCE"/>
    <w:rsid w:val="00821BD0"/>
    <w:rsid w:val="00824097"/>
    <w:rsid w:val="00824181"/>
    <w:rsid w:val="0083144B"/>
    <w:rsid w:val="00842D8F"/>
    <w:rsid w:val="00853611"/>
    <w:rsid w:val="0085420D"/>
    <w:rsid w:val="008550EF"/>
    <w:rsid w:val="008617A6"/>
    <w:rsid w:val="00863A25"/>
    <w:rsid w:val="008641C8"/>
    <w:rsid w:val="008776EB"/>
    <w:rsid w:val="0089637D"/>
    <w:rsid w:val="008B0045"/>
    <w:rsid w:val="008B0889"/>
    <w:rsid w:val="008B67EB"/>
    <w:rsid w:val="008E0DEF"/>
    <w:rsid w:val="008E1EB3"/>
    <w:rsid w:val="008E3636"/>
    <w:rsid w:val="00913BF3"/>
    <w:rsid w:val="00917950"/>
    <w:rsid w:val="00921645"/>
    <w:rsid w:val="00931D14"/>
    <w:rsid w:val="009331A5"/>
    <w:rsid w:val="00933A89"/>
    <w:rsid w:val="00944F57"/>
    <w:rsid w:val="009477D5"/>
    <w:rsid w:val="00963B13"/>
    <w:rsid w:val="00977EF7"/>
    <w:rsid w:val="00984167"/>
    <w:rsid w:val="00985194"/>
    <w:rsid w:val="00986996"/>
    <w:rsid w:val="0099077E"/>
    <w:rsid w:val="009A00A8"/>
    <w:rsid w:val="009A542A"/>
    <w:rsid w:val="009B480D"/>
    <w:rsid w:val="009C4D87"/>
    <w:rsid w:val="009C56C0"/>
    <w:rsid w:val="009D20DE"/>
    <w:rsid w:val="009F0FEB"/>
    <w:rsid w:val="009F1C70"/>
    <w:rsid w:val="009F77BA"/>
    <w:rsid w:val="00A13D4B"/>
    <w:rsid w:val="00A179F1"/>
    <w:rsid w:val="00A25CA7"/>
    <w:rsid w:val="00A3232A"/>
    <w:rsid w:val="00A343FF"/>
    <w:rsid w:val="00A366BE"/>
    <w:rsid w:val="00A466C8"/>
    <w:rsid w:val="00A47FF7"/>
    <w:rsid w:val="00A56234"/>
    <w:rsid w:val="00A72869"/>
    <w:rsid w:val="00A74A1D"/>
    <w:rsid w:val="00A942E0"/>
    <w:rsid w:val="00A95E1B"/>
    <w:rsid w:val="00AA0407"/>
    <w:rsid w:val="00AA4E4E"/>
    <w:rsid w:val="00AC2BAD"/>
    <w:rsid w:val="00AE1B0F"/>
    <w:rsid w:val="00AE2597"/>
    <w:rsid w:val="00AF0CEC"/>
    <w:rsid w:val="00AF37E4"/>
    <w:rsid w:val="00B02BDD"/>
    <w:rsid w:val="00B033A1"/>
    <w:rsid w:val="00B056D9"/>
    <w:rsid w:val="00B17D1F"/>
    <w:rsid w:val="00B2161A"/>
    <w:rsid w:val="00B6696C"/>
    <w:rsid w:val="00B75824"/>
    <w:rsid w:val="00B806AC"/>
    <w:rsid w:val="00B8465F"/>
    <w:rsid w:val="00B90B9D"/>
    <w:rsid w:val="00B91191"/>
    <w:rsid w:val="00B91D8E"/>
    <w:rsid w:val="00B93993"/>
    <w:rsid w:val="00BA675E"/>
    <w:rsid w:val="00BB5902"/>
    <w:rsid w:val="00BC19D9"/>
    <w:rsid w:val="00BD37BE"/>
    <w:rsid w:val="00BE0EFF"/>
    <w:rsid w:val="00BF33B2"/>
    <w:rsid w:val="00BF7310"/>
    <w:rsid w:val="00C04C07"/>
    <w:rsid w:val="00C1382E"/>
    <w:rsid w:val="00C33DC3"/>
    <w:rsid w:val="00C40F2C"/>
    <w:rsid w:val="00C6690B"/>
    <w:rsid w:val="00CA2777"/>
    <w:rsid w:val="00CA3AA8"/>
    <w:rsid w:val="00CB0CA0"/>
    <w:rsid w:val="00CC29B8"/>
    <w:rsid w:val="00CC4274"/>
    <w:rsid w:val="00CC42BB"/>
    <w:rsid w:val="00CC5359"/>
    <w:rsid w:val="00CD3889"/>
    <w:rsid w:val="00CF64FA"/>
    <w:rsid w:val="00D05BCC"/>
    <w:rsid w:val="00D13990"/>
    <w:rsid w:val="00D222B7"/>
    <w:rsid w:val="00D22AF6"/>
    <w:rsid w:val="00D22B01"/>
    <w:rsid w:val="00D451D3"/>
    <w:rsid w:val="00D5166A"/>
    <w:rsid w:val="00D56F83"/>
    <w:rsid w:val="00D809FF"/>
    <w:rsid w:val="00D82E91"/>
    <w:rsid w:val="00DB1E4A"/>
    <w:rsid w:val="00DB2CDF"/>
    <w:rsid w:val="00DC20F2"/>
    <w:rsid w:val="00DD36BE"/>
    <w:rsid w:val="00DD4F27"/>
    <w:rsid w:val="00DD7443"/>
    <w:rsid w:val="00DD7AE6"/>
    <w:rsid w:val="00DF0FE5"/>
    <w:rsid w:val="00DF7D91"/>
    <w:rsid w:val="00E04605"/>
    <w:rsid w:val="00E06D52"/>
    <w:rsid w:val="00E16AFE"/>
    <w:rsid w:val="00E24DFC"/>
    <w:rsid w:val="00E26E89"/>
    <w:rsid w:val="00E3040C"/>
    <w:rsid w:val="00E30888"/>
    <w:rsid w:val="00E3614A"/>
    <w:rsid w:val="00E52331"/>
    <w:rsid w:val="00E56BF2"/>
    <w:rsid w:val="00E62255"/>
    <w:rsid w:val="00E72BD0"/>
    <w:rsid w:val="00E77756"/>
    <w:rsid w:val="00E82BFD"/>
    <w:rsid w:val="00EA495C"/>
    <w:rsid w:val="00EB1162"/>
    <w:rsid w:val="00EB3ACF"/>
    <w:rsid w:val="00EC03C5"/>
    <w:rsid w:val="00EC64BF"/>
    <w:rsid w:val="00ED4C58"/>
    <w:rsid w:val="00ED518E"/>
    <w:rsid w:val="00EF1BD7"/>
    <w:rsid w:val="00F0294F"/>
    <w:rsid w:val="00F06E69"/>
    <w:rsid w:val="00F07B09"/>
    <w:rsid w:val="00F4353D"/>
    <w:rsid w:val="00F52F31"/>
    <w:rsid w:val="00F54F60"/>
    <w:rsid w:val="00F62F2B"/>
    <w:rsid w:val="00F659FE"/>
    <w:rsid w:val="00F66FEE"/>
    <w:rsid w:val="00F72E41"/>
    <w:rsid w:val="00F8544E"/>
    <w:rsid w:val="00FA0536"/>
    <w:rsid w:val="00FC0266"/>
    <w:rsid w:val="00FC66C2"/>
    <w:rsid w:val="00FD09E6"/>
    <w:rsid w:val="00FD7ED8"/>
    <w:rsid w:val="00FE1682"/>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4B6622"/>
    <w:rPr>
      <w:lang w:val="en-US" w:eastAsia="en-US"/>
    </w:rPr>
  </w:style>
  <w:style w:type="paragraph" w:styleId="ListParagraph">
    <w:name w:val="List Paragraph"/>
    <w:aliases w:val="List1,Parragrap,Superíndice,Dot pt,No Spacing1,List Paragraph Char Char Char,Indicator Text,Numbered Para 1,4 Párrafo de lista,Figuras,DH1,4 Párrafo de l,List11"/>
    <w:basedOn w:val="Normal"/>
    <w:link w:val="ListParagraphChar"/>
    <w:uiPriority w:val="34"/>
    <w:qFormat/>
    <w:rsid w:val="004B6622"/>
    <w:pPr>
      <w:ind w:left="720"/>
      <w:contextualSpacing/>
    </w:pPr>
  </w:style>
  <w:style w:type="character" w:customStyle="1" w:styleId="ListParagraphChar">
    <w:name w:val="List Paragraph Char"/>
    <w:aliases w:val="List1 Char,Parragrap Char,Superíndice Char,Dot pt Char,No Spacing1 Char,List Paragraph Char Char Char Char,Indicator Text Char,Numbered Para 1 Char,4 Párrafo de lista Char,Figuras Char,DH1 Char,4 Párrafo de l Char,List11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character" w:customStyle="1" w:styleId="ui-provider">
    <w:name w:val="ui-provider"/>
    <w:basedOn w:val="DefaultParagraphFont"/>
    <w:rsid w:val="00C3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2/GUSA1287-19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s/cidh/decisiones/2022/GUSA1287-19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docs/anual/2023/capitulos/IA2023_Cap_2_SPA.PDF" TargetMode="External"/><Relationship Id="rId1" Type="http://schemas.openxmlformats.org/officeDocument/2006/relationships/hyperlink" Target="https://www.oas.org/es/cidh/docs/anual/2023/capitulos/IA2023_Cap_2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2.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3.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5.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2024-05-02T14:09:00Z</dcterms:created>
  <dcterms:modified xsi:type="dcterms:W3CDTF">2024-05-02T14:09:00Z</dcterms:modified>
</cp:coreProperties>
</file>